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2E" w:rsidRPr="005A25D9" w:rsidRDefault="002B152E" w:rsidP="00042867">
      <w:pPr>
        <w:jc w:val="center"/>
      </w:pPr>
    </w:p>
    <w:p w:rsidR="002B152E" w:rsidRPr="005A25D9" w:rsidRDefault="002B152E" w:rsidP="00042867">
      <w:pPr>
        <w:jc w:val="center"/>
      </w:pPr>
    </w:p>
    <w:p w:rsidR="00F71A6A" w:rsidRPr="005A25D9" w:rsidRDefault="00F71A6A" w:rsidP="00042867">
      <w:pPr>
        <w:jc w:val="center"/>
      </w:pPr>
    </w:p>
    <w:p w:rsidR="00F71A6A" w:rsidRPr="005A25D9" w:rsidRDefault="00FD502B" w:rsidP="00042867">
      <w:pPr>
        <w:jc w:val="center"/>
      </w:pPr>
      <w:r w:rsidRPr="005A25D9">
        <w:t>FIFTH SECTION</w:t>
      </w:r>
    </w:p>
    <w:p w:rsidR="002B152E" w:rsidRPr="005A25D9" w:rsidRDefault="002B152E" w:rsidP="00042867">
      <w:pPr>
        <w:jc w:val="center"/>
      </w:pPr>
    </w:p>
    <w:p w:rsidR="002B152E" w:rsidRPr="005A25D9" w:rsidRDefault="002B152E" w:rsidP="00042867">
      <w:pPr>
        <w:jc w:val="center"/>
      </w:pPr>
    </w:p>
    <w:p w:rsidR="002B152E" w:rsidRPr="005A25D9" w:rsidRDefault="002B152E" w:rsidP="00042867">
      <w:pPr>
        <w:jc w:val="center"/>
      </w:pPr>
    </w:p>
    <w:p w:rsidR="002B152E" w:rsidRPr="005A25D9" w:rsidRDefault="002B152E" w:rsidP="00042867">
      <w:pPr>
        <w:jc w:val="center"/>
      </w:pPr>
    </w:p>
    <w:p w:rsidR="002B152E" w:rsidRPr="005A25D9" w:rsidRDefault="002B152E" w:rsidP="00042867">
      <w:pPr>
        <w:jc w:val="center"/>
      </w:pPr>
    </w:p>
    <w:p w:rsidR="00F71A6A" w:rsidRPr="005A25D9" w:rsidRDefault="00F71A6A" w:rsidP="00042867">
      <w:pPr>
        <w:jc w:val="center"/>
      </w:pPr>
    </w:p>
    <w:p w:rsidR="00F71A6A" w:rsidRPr="005A25D9" w:rsidRDefault="00F71A6A" w:rsidP="00042867">
      <w:pPr>
        <w:jc w:val="center"/>
        <w:rPr>
          <w:b/>
        </w:rPr>
      </w:pPr>
      <w:bookmarkStart w:id="0" w:name="To"/>
      <w:r w:rsidRPr="005A25D9">
        <w:rPr>
          <w:b/>
        </w:rPr>
        <w:t xml:space="preserve">CASE OF </w:t>
      </w:r>
      <w:bookmarkEnd w:id="0"/>
      <w:r w:rsidR="00FD502B" w:rsidRPr="005A25D9">
        <w:rPr>
          <w:b/>
        </w:rPr>
        <w:t xml:space="preserve">NATALIYA MIKHAYLENKO v. </w:t>
      </w:r>
      <w:smartTag w:uri="urn:schemas-microsoft-com:office:smarttags" w:element="country-region">
        <w:smartTag w:uri="urn:schemas-microsoft-com:office:smarttags" w:element="place">
          <w:r w:rsidR="00FD502B" w:rsidRPr="005A25D9">
            <w:rPr>
              <w:b/>
            </w:rPr>
            <w:t>UKRAINE</w:t>
          </w:r>
        </w:smartTag>
      </w:smartTag>
    </w:p>
    <w:p w:rsidR="00F71A6A" w:rsidRPr="005A25D9" w:rsidRDefault="00F71A6A" w:rsidP="00042867">
      <w:pPr>
        <w:jc w:val="center"/>
      </w:pPr>
    </w:p>
    <w:p w:rsidR="00F71A6A" w:rsidRPr="005A25D9" w:rsidRDefault="00F71A6A" w:rsidP="00042867">
      <w:pPr>
        <w:jc w:val="center"/>
        <w:rPr>
          <w:i/>
        </w:rPr>
      </w:pPr>
      <w:r w:rsidRPr="005A25D9">
        <w:rPr>
          <w:i/>
        </w:rPr>
        <w:t>(</w:t>
      </w:r>
      <w:r w:rsidR="00FD502B" w:rsidRPr="005A25D9">
        <w:rPr>
          <w:i/>
        </w:rPr>
        <w:t>Application no. 49069/11</w:t>
      </w:r>
      <w:r w:rsidRPr="005A25D9">
        <w:rPr>
          <w:i/>
        </w:rPr>
        <w:t>)</w:t>
      </w:r>
    </w:p>
    <w:p w:rsidR="00F71A6A" w:rsidRPr="005A25D9" w:rsidRDefault="00F71A6A" w:rsidP="00042867">
      <w:pPr>
        <w:jc w:val="center"/>
      </w:pPr>
    </w:p>
    <w:p w:rsidR="00F71A6A" w:rsidRPr="005A25D9" w:rsidRDefault="00F71A6A" w:rsidP="00042867">
      <w:pPr>
        <w:jc w:val="center"/>
      </w:pPr>
    </w:p>
    <w:p w:rsidR="00F71A6A" w:rsidRPr="005A25D9" w:rsidRDefault="00F71A6A" w:rsidP="00042867">
      <w:pPr>
        <w:jc w:val="center"/>
      </w:pPr>
    </w:p>
    <w:p w:rsidR="00F71A6A" w:rsidRPr="005A25D9" w:rsidRDefault="00F71A6A" w:rsidP="00042867">
      <w:pPr>
        <w:jc w:val="center"/>
      </w:pPr>
    </w:p>
    <w:p w:rsidR="00F71A6A" w:rsidRPr="005A25D9" w:rsidRDefault="00F71A6A" w:rsidP="00042867">
      <w:pPr>
        <w:jc w:val="center"/>
      </w:pPr>
    </w:p>
    <w:p w:rsidR="00F71A6A" w:rsidRPr="005A25D9" w:rsidRDefault="00F71A6A" w:rsidP="00042867">
      <w:pPr>
        <w:jc w:val="center"/>
      </w:pPr>
    </w:p>
    <w:p w:rsidR="00D73611" w:rsidRPr="005A25D9" w:rsidRDefault="002B152E" w:rsidP="002B152E">
      <w:pPr>
        <w:jc w:val="center"/>
        <w:rPr>
          <w:szCs w:val="24"/>
        </w:rPr>
      </w:pPr>
      <w:r w:rsidRPr="005A25D9">
        <w:rPr>
          <w:szCs w:val="24"/>
        </w:rPr>
        <w:t>JUDGMENT</w:t>
      </w:r>
    </w:p>
    <w:p w:rsidR="00AA2B6A" w:rsidRPr="005A25D9" w:rsidRDefault="00AA2B6A" w:rsidP="00042867">
      <w:pPr>
        <w:jc w:val="center"/>
        <w:rPr>
          <w:szCs w:val="24"/>
        </w:rPr>
      </w:pPr>
    </w:p>
    <w:p w:rsidR="00B921A8" w:rsidRPr="005A25D9" w:rsidRDefault="00B921A8" w:rsidP="000C4BB6">
      <w:pPr>
        <w:pStyle w:val="JuPara"/>
        <w:rPr>
          <w:sz w:val="22"/>
          <w:szCs w:val="22"/>
        </w:rPr>
      </w:pPr>
    </w:p>
    <w:p w:rsidR="002B152E" w:rsidRPr="005A25D9" w:rsidRDefault="002B152E" w:rsidP="002B152E">
      <w:pPr>
        <w:pStyle w:val="JuCase"/>
        <w:ind w:firstLine="0"/>
        <w:jc w:val="center"/>
        <w:rPr>
          <w:b w:val="0"/>
        </w:rPr>
      </w:pPr>
    </w:p>
    <w:p w:rsidR="002B152E" w:rsidRPr="005A25D9" w:rsidRDefault="002B152E" w:rsidP="002B152E">
      <w:pPr>
        <w:pStyle w:val="JuCase"/>
        <w:ind w:firstLine="0"/>
        <w:jc w:val="center"/>
        <w:rPr>
          <w:b w:val="0"/>
        </w:rPr>
      </w:pPr>
    </w:p>
    <w:p w:rsidR="002B152E" w:rsidRPr="005A25D9" w:rsidRDefault="002B152E" w:rsidP="002B152E">
      <w:pPr>
        <w:pStyle w:val="JuCase"/>
        <w:ind w:firstLine="0"/>
        <w:jc w:val="center"/>
        <w:rPr>
          <w:b w:val="0"/>
        </w:rPr>
      </w:pPr>
      <w:smartTag w:uri="urn:schemas-microsoft-com:office:smarttags" w:element="City">
        <w:smartTag w:uri="urn:schemas-microsoft-com:office:smarttags" w:element="place">
          <w:r w:rsidRPr="005A25D9">
            <w:rPr>
              <w:b w:val="0"/>
            </w:rPr>
            <w:t>STRASBOURG</w:t>
          </w:r>
        </w:smartTag>
      </w:smartTag>
    </w:p>
    <w:p w:rsidR="002B152E" w:rsidRPr="005A25D9" w:rsidRDefault="002B152E" w:rsidP="002B152E">
      <w:pPr>
        <w:pStyle w:val="JuCase"/>
        <w:ind w:firstLine="0"/>
        <w:jc w:val="center"/>
        <w:rPr>
          <w:b w:val="0"/>
        </w:rPr>
      </w:pPr>
    </w:p>
    <w:p w:rsidR="002B152E" w:rsidRPr="005A25D9" w:rsidRDefault="00B95CFD" w:rsidP="002B152E">
      <w:pPr>
        <w:pStyle w:val="JuCase"/>
        <w:ind w:firstLine="0"/>
        <w:jc w:val="center"/>
        <w:rPr>
          <w:b w:val="0"/>
        </w:rPr>
      </w:pPr>
      <w:r w:rsidRPr="005A25D9">
        <w:rPr>
          <w:b w:val="0"/>
        </w:rPr>
        <w:t>30 May 2013</w:t>
      </w:r>
    </w:p>
    <w:p w:rsidR="002B152E" w:rsidRPr="005A25D9" w:rsidRDefault="002B152E" w:rsidP="002B152E">
      <w:pPr>
        <w:pStyle w:val="JuCase"/>
        <w:ind w:firstLine="0"/>
        <w:jc w:val="center"/>
        <w:rPr>
          <w:b w:val="0"/>
        </w:rPr>
      </w:pPr>
    </w:p>
    <w:p w:rsidR="002B152E" w:rsidRDefault="002B152E" w:rsidP="002B152E">
      <w:pPr>
        <w:pStyle w:val="JuCase"/>
        <w:ind w:firstLine="0"/>
        <w:jc w:val="center"/>
        <w:rPr>
          <w:b w:val="0"/>
        </w:rPr>
      </w:pPr>
    </w:p>
    <w:p w:rsidR="00BB2BF7" w:rsidRPr="00BB2BF7" w:rsidRDefault="00BB2BF7" w:rsidP="00BB2BF7">
      <w:pPr>
        <w:pStyle w:val="JuPara"/>
      </w:pPr>
    </w:p>
    <w:p w:rsidR="002B152E" w:rsidRPr="005A25D9" w:rsidRDefault="002B152E" w:rsidP="002B152E">
      <w:pPr>
        <w:pStyle w:val="JuCase"/>
        <w:ind w:firstLine="0"/>
        <w:rPr>
          <w:b w:val="0"/>
          <w:i/>
          <w:sz w:val="22"/>
        </w:rPr>
      </w:pPr>
      <w:r w:rsidRPr="005A25D9">
        <w:rPr>
          <w:b w:val="0"/>
          <w:i/>
          <w:sz w:val="22"/>
        </w:rPr>
        <w:t>This judgment will become final in the circumstances set out in Article 44 § 2 of the Convention. It may be subject to editorial revision.</w:t>
      </w:r>
    </w:p>
    <w:p w:rsidR="002B152E" w:rsidRPr="005A25D9" w:rsidRDefault="002B152E" w:rsidP="002B152E">
      <w:pPr>
        <w:pStyle w:val="JuPara"/>
        <w:sectPr w:rsidR="002B152E" w:rsidRPr="005A25D9" w:rsidSect="002B152E">
          <w:head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B030BE" w:rsidRPr="005A25D9" w:rsidRDefault="00F71A6A" w:rsidP="00B030BE">
      <w:pPr>
        <w:pStyle w:val="JuCase"/>
        <w:rPr>
          <w:b w:val="0"/>
          <w:bCs/>
        </w:rPr>
      </w:pPr>
      <w:r w:rsidRPr="005A25D9">
        <w:t>In the case of</w:t>
      </w:r>
      <w:r w:rsidR="00B030BE" w:rsidRPr="005A25D9">
        <w:t xml:space="preserve"> </w:t>
      </w:r>
      <w:r w:rsidR="00FD502B" w:rsidRPr="005A25D9">
        <w:t xml:space="preserve">Nataliya Mikhaylenko v. </w:t>
      </w:r>
      <w:smartTag w:uri="urn:schemas-microsoft-com:office:smarttags" w:element="country-region">
        <w:smartTag w:uri="urn:schemas-microsoft-com:office:smarttags" w:element="place">
          <w:r w:rsidR="00FD502B" w:rsidRPr="005A25D9">
            <w:t>Ukraine</w:t>
          </w:r>
        </w:smartTag>
      </w:smartTag>
      <w:r w:rsidR="00B030BE" w:rsidRPr="005A25D9">
        <w:t>,</w:t>
      </w:r>
    </w:p>
    <w:p w:rsidR="00730433" w:rsidRPr="005A25D9" w:rsidRDefault="00F71A6A" w:rsidP="00B030BE">
      <w:pPr>
        <w:pStyle w:val="JuCase"/>
        <w:rPr>
          <w:b w:val="0"/>
          <w:bCs/>
          <w:szCs w:val="24"/>
        </w:rPr>
      </w:pPr>
      <w:r w:rsidRPr="005A25D9">
        <w:rPr>
          <w:b w:val="0"/>
          <w:bCs/>
          <w:szCs w:val="24"/>
        </w:rPr>
        <w:t>The European Court of Human Rights (</w:t>
      </w:r>
      <w:r w:rsidR="00FD502B" w:rsidRPr="005A25D9">
        <w:rPr>
          <w:b w:val="0"/>
          <w:bCs/>
          <w:szCs w:val="24"/>
        </w:rPr>
        <w:t>Fifth Section</w:t>
      </w:r>
      <w:r w:rsidRPr="005A25D9">
        <w:rPr>
          <w:b w:val="0"/>
          <w:bCs/>
          <w:szCs w:val="24"/>
        </w:rPr>
        <w:t xml:space="preserve">), sitting as a </w:t>
      </w:r>
      <w:r w:rsidR="00FD502B" w:rsidRPr="005A25D9">
        <w:rPr>
          <w:b w:val="0"/>
          <w:bCs/>
          <w:szCs w:val="24"/>
        </w:rPr>
        <w:t>Chamber</w:t>
      </w:r>
      <w:r w:rsidR="00730433" w:rsidRPr="005A25D9">
        <w:rPr>
          <w:b w:val="0"/>
          <w:bCs/>
          <w:szCs w:val="24"/>
        </w:rPr>
        <w:t xml:space="preserve"> composed of:</w:t>
      </w:r>
    </w:p>
    <w:p w:rsidR="00F71A6A" w:rsidRPr="005A25D9" w:rsidRDefault="002B152E" w:rsidP="008824B9">
      <w:pPr>
        <w:pStyle w:val="JuJudges"/>
      </w:pPr>
      <w:r w:rsidRPr="005A25D9">
        <w:tab/>
        <w:t>Mark Villiger,</w:t>
      </w:r>
      <w:r w:rsidRPr="005A25D9">
        <w:rPr>
          <w:i/>
        </w:rPr>
        <w:t xml:space="preserve"> President,</w:t>
      </w:r>
      <w:r w:rsidRPr="005A25D9">
        <w:rPr>
          <w:i/>
        </w:rPr>
        <w:br/>
      </w:r>
      <w:r w:rsidRPr="005A25D9">
        <w:tab/>
        <w:t>Angelika Nußberger,</w:t>
      </w:r>
      <w:r w:rsidRPr="005A25D9">
        <w:rPr>
          <w:i/>
        </w:rPr>
        <w:br/>
      </w:r>
      <w:r w:rsidRPr="005A25D9">
        <w:tab/>
        <w:t>Boštjan M. Zupančič,</w:t>
      </w:r>
      <w:r w:rsidRPr="005A25D9">
        <w:rPr>
          <w:i/>
        </w:rPr>
        <w:br/>
      </w:r>
      <w:r w:rsidRPr="005A25D9">
        <w:tab/>
        <w:t>Ganna Yudkivska,</w:t>
      </w:r>
      <w:r w:rsidRPr="005A25D9">
        <w:rPr>
          <w:i/>
        </w:rPr>
        <w:br/>
      </w:r>
      <w:r w:rsidRPr="005A25D9">
        <w:tab/>
        <w:t>André Potocki,</w:t>
      </w:r>
      <w:r w:rsidRPr="005A25D9">
        <w:rPr>
          <w:i/>
        </w:rPr>
        <w:br/>
      </w:r>
      <w:r w:rsidRPr="005A25D9">
        <w:tab/>
        <w:t>Paul Lemmens,</w:t>
      </w:r>
      <w:r w:rsidRPr="005A25D9">
        <w:rPr>
          <w:i/>
        </w:rPr>
        <w:br/>
      </w:r>
      <w:r w:rsidRPr="005A25D9">
        <w:tab/>
        <w:t>Aleš Pejchal,</w:t>
      </w:r>
      <w:r w:rsidRPr="005A25D9">
        <w:rPr>
          <w:i/>
        </w:rPr>
        <w:t xml:space="preserve"> judges,</w:t>
      </w:r>
      <w:r w:rsidR="00337600" w:rsidRPr="005A25D9">
        <w:rPr>
          <w:szCs w:val="24"/>
        </w:rPr>
        <w:br/>
      </w:r>
      <w:r w:rsidR="00F71A6A" w:rsidRPr="005A25D9">
        <w:t>and</w:t>
      </w:r>
      <w:r w:rsidR="000726F6" w:rsidRPr="005A25D9">
        <w:t xml:space="preserve"> </w:t>
      </w:r>
      <w:r w:rsidR="00806A0E">
        <w:t>Stephen Phillips</w:t>
      </w:r>
      <w:r w:rsidR="009D4B87" w:rsidRPr="005A25D9">
        <w:rPr>
          <w:rStyle w:val="JuJudgesChar"/>
        </w:rPr>
        <w:t xml:space="preserve">, </w:t>
      </w:r>
      <w:r w:rsidR="00806A0E">
        <w:rPr>
          <w:rStyle w:val="JuJudgesChar"/>
          <w:i/>
        </w:rPr>
        <w:t xml:space="preserve">Deputy </w:t>
      </w:r>
      <w:r w:rsidR="00FD502B" w:rsidRPr="005A25D9">
        <w:rPr>
          <w:i/>
        </w:rPr>
        <w:t xml:space="preserve">Section </w:t>
      </w:r>
      <w:r w:rsidR="00FD502B" w:rsidRPr="005A25D9">
        <w:rPr>
          <w:i/>
          <w:iCs/>
        </w:rPr>
        <w:t>Registrar</w:t>
      </w:r>
      <w:r w:rsidR="00F71A6A" w:rsidRPr="005A25D9">
        <w:rPr>
          <w:i/>
        </w:rPr>
        <w:t>,</w:t>
      </w:r>
    </w:p>
    <w:p w:rsidR="00F71A6A" w:rsidRPr="005A25D9" w:rsidRDefault="00F71A6A" w:rsidP="002F4BCF">
      <w:pPr>
        <w:pStyle w:val="JuPara"/>
      </w:pPr>
      <w:r w:rsidRPr="005A25D9">
        <w:t xml:space="preserve">Having deliberated in private on </w:t>
      </w:r>
      <w:r w:rsidR="002B152E" w:rsidRPr="005A25D9">
        <w:t>30 April 2013</w:t>
      </w:r>
      <w:r w:rsidRPr="005A25D9">
        <w:t>,</w:t>
      </w:r>
    </w:p>
    <w:p w:rsidR="00F71A6A" w:rsidRPr="005A25D9" w:rsidRDefault="00F71A6A" w:rsidP="002F4BCF">
      <w:pPr>
        <w:pStyle w:val="JuPara"/>
      </w:pPr>
      <w:r w:rsidRPr="005A25D9">
        <w:t>Delivers the following judgment, which was adopted on that date:</w:t>
      </w:r>
    </w:p>
    <w:p w:rsidR="00F71A6A" w:rsidRPr="005A25D9" w:rsidRDefault="00F71A6A" w:rsidP="008824B9">
      <w:pPr>
        <w:pStyle w:val="JuHHead"/>
      </w:pPr>
      <w:r w:rsidRPr="005A25D9">
        <w:t>PROCEDURE</w:t>
      </w:r>
    </w:p>
    <w:p w:rsidR="00DF53C0" w:rsidRPr="005A25D9" w:rsidRDefault="00FD502B" w:rsidP="00893782">
      <w:pPr>
        <w:pStyle w:val="JuPara"/>
      </w:pPr>
      <w:r w:rsidRPr="005A25D9">
        <w:fldChar w:fldCharType="begin"/>
      </w:r>
      <w:r w:rsidRPr="005A25D9">
        <w:instrText xml:space="preserve"> SEQ level0 \*arabic </w:instrText>
      </w:r>
      <w:r w:rsidRPr="005A25D9">
        <w:fldChar w:fldCharType="separate"/>
      </w:r>
      <w:r w:rsidR="00317F48">
        <w:rPr>
          <w:noProof/>
        </w:rPr>
        <w:t>1</w:t>
      </w:r>
      <w:r w:rsidRPr="005A25D9">
        <w:fldChar w:fldCharType="end"/>
      </w:r>
      <w:r w:rsidR="00F71A6A" w:rsidRPr="005A25D9">
        <w:t xml:space="preserve">.  The case originated in </w:t>
      </w:r>
      <w:r w:rsidRPr="005A25D9">
        <w:t>an application (no. 49069/11)</w:t>
      </w:r>
      <w:r w:rsidR="00F71A6A" w:rsidRPr="005A25D9">
        <w:t xml:space="preserve"> against </w:t>
      </w:r>
      <w:smartTag w:uri="urn:schemas-microsoft-com:office:smarttags" w:element="country-region">
        <w:smartTag w:uri="urn:schemas-microsoft-com:office:smarttags" w:element="place">
          <w:r w:rsidRPr="005A25D9">
            <w:t>Ukraine</w:t>
          </w:r>
        </w:smartTag>
      </w:smartTag>
      <w:r w:rsidR="00F71A6A" w:rsidRPr="005A25D9">
        <w:t xml:space="preserve"> lodged with the </w:t>
      </w:r>
      <w:r w:rsidRPr="005A25D9">
        <w:t>Court under Article 34</w:t>
      </w:r>
      <w:r w:rsidR="004920B1" w:rsidRPr="005A25D9">
        <w:t xml:space="preserve"> of the Convention for the Protection of Human Rights and Fundamental Freedoms (“the Convention”)</w:t>
      </w:r>
      <w:r w:rsidR="00F71A6A" w:rsidRPr="005A25D9">
        <w:t xml:space="preserve"> by </w:t>
      </w:r>
      <w:r w:rsidRPr="005A25D9">
        <w:t>a Ukrainian national, Ms Nataliya Petrovna Mikhaylenko (“the applicant”), on 29 July 2011</w:t>
      </w:r>
      <w:r w:rsidR="00F71A6A" w:rsidRPr="005A25D9">
        <w:t>.</w:t>
      </w:r>
    </w:p>
    <w:p w:rsidR="00FD502B"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2</w:t>
      </w:r>
      <w:r w:rsidRPr="005A25D9">
        <w:fldChar w:fldCharType="end"/>
      </w:r>
      <w:r w:rsidR="00F71A6A" w:rsidRPr="005A25D9">
        <w:t>.  </w:t>
      </w:r>
      <w:r w:rsidRPr="005A25D9">
        <w:t>The applicant, who had been granted legal aid, was represented by Ms</w:t>
      </w:r>
      <w:r w:rsidR="003C0521" w:rsidRPr="005A25D9">
        <w:t> </w:t>
      </w:r>
      <w:r w:rsidR="00752E41" w:rsidRPr="005A25D9">
        <w:t xml:space="preserve">A. </w:t>
      </w:r>
      <w:r w:rsidRPr="005A25D9">
        <w:t>Ivankovi</w:t>
      </w:r>
      <w:r w:rsidR="00752E41" w:rsidRPr="005A25D9">
        <w:t>ć</w:t>
      </w:r>
      <w:r w:rsidRPr="005A25D9">
        <w:t xml:space="preserve"> Tamamovi</w:t>
      </w:r>
      <w:r w:rsidR="00752E41" w:rsidRPr="005A25D9">
        <w:t>ć</w:t>
      </w:r>
      <w:r w:rsidRPr="005A25D9">
        <w:t xml:space="preserve">, </w:t>
      </w:r>
      <w:r w:rsidR="004171AB" w:rsidRPr="005A25D9">
        <w:t xml:space="preserve">a </w:t>
      </w:r>
      <w:r w:rsidRPr="005A25D9">
        <w:t xml:space="preserve">lawyer </w:t>
      </w:r>
      <w:r w:rsidR="00DE4193" w:rsidRPr="005A25D9">
        <w:t xml:space="preserve">from the </w:t>
      </w:r>
      <w:smartTag w:uri="urn:schemas-microsoft-com:office:smarttags" w:element="PlaceName">
        <w:r w:rsidR="00DE4193" w:rsidRPr="005A25D9">
          <w:t>Mental</w:t>
        </w:r>
      </w:smartTag>
      <w:r w:rsidR="00DE4193" w:rsidRPr="005A25D9">
        <w:t xml:space="preserve"> </w:t>
      </w:r>
      <w:smartTag w:uri="urn:schemas-microsoft-com:office:smarttags" w:element="PlaceName">
        <w:r w:rsidR="00DE4193" w:rsidRPr="005A25D9">
          <w:t>Disability</w:t>
        </w:r>
      </w:smartTag>
      <w:r w:rsidR="00DE4193" w:rsidRPr="005A25D9">
        <w:t xml:space="preserve"> </w:t>
      </w:r>
      <w:smartTag w:uri="urn:schemas-microsoft-com:office:smarttags" w:element="PlaceName">
        <w:r w:rsidR="00DE4193" w:rsidRPr="005A25D9">
          <w:t>Advocacy</w:t>
        </w:r>
      </w:smartTag>
      <w:r w:rsidR="00DE4193" w:rsidRPr="005A25D9">
        <w:t xml:space="preserve"> </w:t>
      </w:r>
      <w:smartTag w:uri="urn:schemas-microsoft-com:office:smarttags" w:element="PlaceType">
        <w:r w:rsidR="00DE4193" w:rsidRPr="005A25D9">
          <w:t>Center</w:t>
        </w:r>
      </w:smartTag>
      <w:r w:rsidR="00DE4193" w:rsidRPr="005A25D9">
        <w:t>, a non-governmental organisation based in</w:t>
      </w:r>
      <w:r w:rsidRPr="005A25D9">
        <w:t xml:space="preserve"> </w:t>
      </w:r>
      <w:smartTag w:uri="urn:schemas-microsoft-com:office:smarttags" w:element="City">
        <w:smartTag w:uri="urn:schemas-microsoft-com:office:smarttags" w:element="place">
          <w:r w:rsidRPr="005A25D9">
            <w:t>Budapest</w:t>
          </w:r>
        </w:smartTag>
      </w:smartTag>
      <w:r w:rsidRPr="005A25D9">
        <w:t xml:space="preserve">. </w:t>
      </w:r>
      <w:r w:rsidR="00F71A6A" w:rsidRPr="005A25D9">
        <w:t xml:space="preserve">The </w:t>
      </w:r>
      <w:r w:rsidRPr="005A25D9">
        <w:t>Ukrainian</w:t>
      </w:r>
      <w:r w:rsidR="00F71A6A" w:rsidRPr="005A25D9">
        <w:t xml:space="preserve"> Government (“the Government”) were represented by their Agent, Mr</w:t>
      </w:r>
      <w:r w:rsidR="00B95CFD" w:rsidRPr="005A25D9">
        <w:t xml:space="preserve"> </w:t>
      </w:r>
      <w:r w:rsidR="004171AB" w:rsidRPr="005A25D9">
        <w:t>N.</w:t>
      </w:r>
      <w:r w:rsidR="00B95CFD" w:rsidRPr="005A25D9">
        <w:t xml:space="preserve"> </w:t>
      </w:r>
      <w:r w:rsidR="004171AB" w:rsidRPr="005A25D9">
        <w:t>Kulchytskyy</w:t>
      </w:r>
      <w:r w:rsidR="00F71A6A" w:rsidRPr="005A25D9">
        <w:t>.</w:t>
      </w:r>
    </w:p>
    <w:p w:rsidR="00F71A6A" w:rsidRPr="005A25D9" w:rsidRDefault="00FD502B" w:rsidP="004171AB">
      <w:pPr>
        <w:pStyle w:val="JuPara"/>
      </w:pPr>
      <w:r w:rsidRPr="005A25D9">
        <w:fldChar w:fldCharType="begin"/>
      </w:r>
      <w:r w:rsidRPr="005A25D9">
        <w:instrText xml:space="preserve"> SEQ level0 \*arabic </w:instrText>
      </w:r>
      <w:r w:rsidRPr="005A25D9">
        <w:fldChar w:fldCharType="separate"/>
      </w:r>
      <w:r w:rsidR="00317F48">
        <w:rPr>
          <w:noProof/>
        </w:rPr>
        <w:t>3</w:t>
      </w:r>
      <w:r w:rsidRPr="005A25D9">
        <w:fldChar w:fldCharType="end"/>
      </w:r>
      <w:r w:rsidRPr="005A25D9">
        <w:t xml:space="preserve">.  The applicant alleged </w:t>
      </w:r>
      <w:r w:rsidR="004171AB" w:rsidRPr="005A25D9">
        <w:t>under Article 6</w:t>
      </w:r>
      <w:r w:rsidR="00B95CFD" w:rsidRPr="005A25D9">
        <w:t xml:space="preserve"> </w:t>
      </w:r>
      <w:r w:rsidR="004171AB" w:rsidRPr="005A25D9">
        <w:t xml:space="preserve">of the Convention that </w:t>
      </w:r>
      <w:r w:rsidR="00E71C65" w:rsidRPr="005A25D9">
        <w:t xml:space="preserve">it </w:t>
      </w:r>
      <w:r w:rsidR="004171AB" w:rsidRPr="005A25D9">
        <w:t>had no</w:t>
      </w:r>
      <w:r w:rsidR="00E71C65" w:rsidRPr="005A25D9">
        <w:t>t been</w:t>
      </w:r>
      <w:r w:rsidR="004171AB" w:rsidRPr="005A25D9">
        <w:t xml:space="preserve"> possib</w:t>
      </w:r>
      <w:r w:rsidR="00E71C65" w:rsidRPr="005A25D9">
        <w:t>le for her</w:t>
      </w:r>
      <w:r w:rsidR="004171AB" w:rsidRPr="005A25D9">
        <w:t xml:space="preserve"> to apply </w:t>
      </w:r>
      <w:r w:rsidR="00E71C65" w:rsidRPr="005A25D9">
        <w:t xml:space="preserve">directly </w:t>
      </w:r>
      <w:r w:rsidR="004171AB" w:rsidRPr="005A25D9">
        <w:t xml:space="preserve">to </w:t>
      </w:r>
      <w:r w:rsidR="00E71C65" w:rsidRPr="005A25D9">
        <w:t xml:space="preserve">a </w:t>
      </w:r>
      <w:r w:rsidR="004171AB" w:rsidRPr="005A25D9">
        <w:t xml:space="preserve">court for restoration of her legal capacity. She further complained under Article 14 of the Convention that she </w:t>
      </w:r>
      <w:r w:rsidR="00E71C65" w:rsidRPr="005A25D9">
        <w:t xml:space="preserve">had been </w:t>
      </w:r>
      <w:r w:rsidR="004171AB" w:rsidRPr="005A25D9">
        <w:t>subjected to discriminatory treatment on account of having no direct access to a court</w:t>
      </w:r>
      <w:r w:rsidRPr="005A25D9">
        <w:t>.</w:t>
      </w:r>
    </w:p>
    <w:p w:rsidR="007E603C" w:rsidRPr="005A25D9" w:rsidRDefault="00FD502B" w:rsidP="00865450">
      <w:pPr>
        <w:pStyle w:val="JuPara"/>
        <w:rPr>
          <w:szCs w:val="22"/>
        </w:rPr>
      </w:pPr>
      <w:r w:rsidRPr="005A25D9">
        <w:fldChar w:fldCharType="begin"/>
      </w:r>
      <w:r w:rsidRPr="005A25D9">
        <w:instrText xml:space="preserve"> SEQ level0 \*arabic </w:instrText>
      </w:r>
      <w:r w:rsidRPr="005A25D9">
        <w:fldChar w:fldCharType="separate"/>
      </w:r>
      <w:r w:rsidR="00317F48">
        <w:rPr>
          <w:noProof/>
        </w:rPr>
        <w:t>4</w:t>
      </w:r>
      <w:r w:rsidRPr="005A25D9">
        <w:fldChar w:fldCharType="end"/>
      </w:r>
      <w:r w:rsidR="00F71A6A" w:rsidRPr="005A25D9">
        <w:t xml:space="preserve">.  On </w:t>
      </w:r>
      <w:r w:rsidRPr="005A25D9">
        <w:rPr>
          <w:szCs w:val="24"/>
        </w:rPr>
        <w:t>27 April 2012</w:t>
      </w:r>
      <w:r w:rsidR="00F71A6A" w:rsidRPr="005A25D9">
        <w:t xml:space="preserve"> </w:t>
      </w:r>
      <w:r w:rsidR="0009409F" w:rsidRPr="005A25D9">
        <w:t xml:space="preserve">the </w:t>
      </w:r>
      <w:r w:rsidRPr="005A25D9">
        <w:t>application was</w:t>
      </w:r>
      <w:r w:rsidR="0009409F" w:rsidRPr="005A25D9">
        <w:t xml:space="preserve"> communicated </w:t>
      </w:r>
      <w:r w:rsidR="00F71A6A" w:rsidRPr="005A25D9">
        <w:t>to the Gove</w:t>
      </w:r>
      <w:r w:rsidR="00485A6F" w:rsidRPr="005A25D9">
        <w:t>rnment.</w:t>
      </w:r>
    </w:p>
    <w:p w:rsidR="00F71A6A" w:rsidRPr="005A25D9" w:rsidRDefault="00F71A6A" w:rsidP="008824B9">
      <w:pPr>
        <w:pStyle w:val="JuHHead"/>
      </w:pPr>
      <w:r w:rsidRPr="005A25D9">
        <w:t>THE FACTS</w:t>
      </w:r>
    </w:p>
    <w:p w:rsidR="00D353F4" w:rsidRPr="005A25D9" w:rsidRDefault="007352DD" w:rsidP="008824B9">
      <w:pPr>
        <w:pStyle w:val="JuHIRoman"/>
        <w:outlineLvl w:val="0"/>
      </w:pPr>
      <w:r w:rsidRPr="005A25D9">
        <w:t xml:space="preserve">I.  THE CIRCUMSTANCES OF THE </w:t>
      </w:r>
      <w:r w:rsidR="00D353F4" w:rsidRPr="005A25D9">
        <w:t>CASE</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5</w:t>
      </w:r>
      <w:r w:rsidRPr="005A25D9">
        <w:fldChar w:fldCharType="end"/>
      </w:r>
      <w:r w:rsidR="00F71A6A" w:rsidRPr="005A25D9">
        <w:t xml:space="preserve">.  The </w:t>
      </w:r>
      <w:r w:rsidRPr="005A25D9">
        <w:t>applicant was born in 1971 and lives</w:t>
      </w:r>
      <w:r w:rsidR="00F71A6A" w:rsidRPr="005A25D9">
        <w:t xml:space="preserve"> in </w:t>
      </w:r>
      <w:smartTag w:uri="urn:schemas-microsoft-com:office:smarttags" w:element="City">
        <w:smartTag w:uri="urn:schemas-microsoft-com:office:smarttags" w:element="place">
          <w:r w:rsidRPr="005A25D9">
            <w:t>Simferopol</w:t>
          </w:r>
        </w:smartTag>
      </w:smartTag>
      <w:r w:rsidR="00F71A6A" w:rsidRPr="005A25D9">
        <w:t>.</w:t>
      </w:r>
    </w:p>
    <w:p w:rsidR="004171AB" w:rsidRPr="005A25D9" w:rsidRDefault="00FD502B" w:rsidP="004171AB">
      <w:pPr>
        <w:pStyle w:val="JuPara"/>
      </w:pPr>
      <w:r w:rsidRPr="005A25D9">
        <w:fldChar w:fldCharType="begin"/>
      </w:r>
      <w:r w:rsidRPr="005A25D9">
        <w:instrText xml:space="preserve"> SEQ level0 \*arabic </w:instrText>
      </w:r>
      <w:r w:rsidRPr="005A25D9">
        <w:fldChar w:fldCharType="separate"/>
      </w:r>
      <w:r w:rsidR="00317F48">
        <w:rPr>
          <w:noProof/>
        </w:rPr>
        <w:t>6</w:t>
      </w:r>
      <w:r w:rsidRPr="005A25D9">
        <w:fldChar w:fldCharType="end"/>
      </w:r>
      <w:r w:rsidR="00F71A6A" w:rsidRPr="005A25D9">
        <w:t>.  </w:t>
      </w:r>
      <w:r w:rsidR="004171AB" w:rsidRPr="005A25D9">
        <w:t xml:space="preserve">The applicant was born with congenital facial </w:t>
      </w:r>
      <w:r w:rsidR="004C6042" w:rsidRPr="005A25D9">
        <w:t>injury</w:t>
      </w:r>
      <w:r w:rsidR="00304AED" w:rsidRPr="005A25D9">
        <w:t xml:space="preserve"> </w:t>
      </w:r>
      <w:r w:rsidR="004171AB" w:rsidRPr="005A25D9">
        <w:t xml:space="preserve">and was diagnosed with a </w:t>
      </w:r>
      <w:r w:rsidR="00942DCE" w:rsidRPr="005A25D9">
        <w:t>“</w:t>
      </w:r>
      <w:r w:rsidR="00CA0D47" w:rsidRPr="005A25D9">
        <w:t>midline cranial</w:t>
      </w:r>
      <w:r w:rsidR="004171AB" w:rsidRPr="005A25D9">
        <w:t xml:space="preserve"> cleft</w:t>
      </w:r>
      <w:r w:rsidR="00942DCE" w:rsidRPr="005A25D9">
        <w:t>”</w:t>
      </w:r>
      <w:r w:rsidR="004171AB" w:rsidRPr="005A25D9">
        <w:t xml:space="preserve">. Between 1990 and 1997 she repeatedly </w:t>
      </w:r>
      <w:r w:rsidR="00C002CF" w:rsidRPr="005A25D9">
        <w:t xml:space="preserve">underwent </w:t>
      </w:r>
      <w:r w:rsidR="004171AB" w:rsidRPr="005A25D9">
        <w:t>surg</w:t>
      </w:r>
      <w:r w:rsidR="00C002CF" w:rsidRPr="005A25D9">
        <w:t>ery</w:t>
      </w:r>
      <w:r w:rsidR="004171AB" w:rsidRPr="005A25D9">
        <w:t xml:space="preserve"> in a clinic </w:t>
      </w:r>
      <w:r w:rsidR="00C002CF" w:rsidRPr="005A25D9">
        <w:t xml:space="preserve">in </w:t>
      </w:r>
      <w:r w:rsidR="004171AB" w:rsidRPr="005A25D9">
        <w:t xml:space="preserve">the </w:t>
      </w:r>
      <w:smartTag w:uri="urn:schemas-microsoft-com:office:smarttags" w:element="country-region">
        <w:smartTag w:uri="urn:schemas-microsoft-com:office:smarttags" w:element="place">
          <w:r w:rsidR="004171AB" w:rsidRPr="005A25D9">
            <w:t>United States of America</w:t>
          </w:r>
        </w:smartTag>
      </w:smartTag>
      <w:r w:rsidR="00937B98" w:rsidRPr="005A25D9">
        <w:t>,</w:t>
      </w:r>
      <w:r w:rsidR="004171AB" w:rsidRPr="005A25D9">
        <w:t xml:space="preserve"> following which </w:t>
      </w:r>
      <w:r w:rsidR="00937B98" w:rsidRPr="005A25D9">
        <w:t>her cranial disorders</w:t>
      </w:r>
      <w:r w:rsidR="004171AB" w:rsidRPr="005A25D9">
        <w:t xml:space="preserve"> </w:t>
      </w:r>
      <w:r w:rsidR="00EE5C49" w:rsidRPr="005A25D9">
        <w:t>were</w:t>
      </w:r>
      <w:r w:rsidR="004171AB" w:rsidRPr="005A25D9">
        <w:t xml:space="preserve"> mostly cured. However, owing to the </w:t>
      </w:r>
      <w:r w:rsidR="00937B98" w:rsidRPr="005A25D9">
        <w:t xml:space="preserve">extensive </w:t>
      </w:r>
      <w:r w:rsidR="004171AB" w:rsidRPr="005A25D9">
        <w:t>surg</w:t>
      </w:r>
      <w:r w:rsidR="00937B98" w:rsidRPr="005A25D9">
        <w:t>ery</w:t>
      </w:r>
      <w:r w:rsidR="004171AB" w:rsidRPr="005A25D9">
        <w:t xml:space="preserve">, the applicant developed a mental illness. Since then </w:t>
      </w:r>
      <w:r w:rsidR="00937B98" w:rsidRPr="005A25D9">
        <w:t>she has</w:t>
      </w:r>
      <w:r w:rsidR="004171AB" w:rsidRPr="005A25D9">
        <w:t xml:space="preserve"> need</w:t>
      </w:r>
      <w:r w:rsidR="00937B98" w:rsidRPr="005A25D9">
        <w:t>ed</w:t>
      </w:r>
      <w:r w:rsidR="004171AB" w:rsidRPr="005A25D9">
        <w:t xml:space="preserve"> regular supervision in the </w:t>
      </w:r>
      <w:smartTag w:uri="urn:schemas-microsoft-com:office:smarttags" w:element="country-region">
        <w:smartTag w:uri="urn:schemas-microsoft-com:office:smarttags" w:element="place">
          <w:r w:rsidR="00937B98" w:rsidRPr="005A25D9">
            <w:t>United States</w:t>
          </w:r>
        </w:smartTag>
      </w:smartTag>
      <w:r w:rsidR="00937B98" w:rsidRPr="005A25D9">
        <w:t xml:space="preserve"> </w:t>
      </w:r>
      <w:r w:rsidR="004171AB" w:rsidRPr="005A25D9">
        <w:t>clinic.</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7</w:t>
      </w:r>
      <w:r w:rsidRPr="005A25D9">
        <w:fldChar w:fldCharType="end"/>
      </w:r>
      <w:r w:rsidRPr="005A25D9">
        <w:t>.  In 2007 the applicant</w:t>
      </w:r>
      <w:r w:rsidR="00125DE6">
        <w:t>’</w:t>
      </w:r>
      <w:r w:rsidRPr="005A25D9">
        <w:t xml:space="preserve">s father applied to the Simferopol District Court of the Autonomous Republic of Crimea (“the </w:t>
      </w:r>
      <w:r w:rsidR="00937B98" w:rsidRPr="005A25D9">
        <w:t>D</w:t>
      </w:r>
      <w:r w:rsidRPr="005A25D9">
        <w:t xml:space="preserve">istrict </w:t>
      </w:r>
      <w:r w:rsidR="00937B98" w:rsidRPr="005A25D9">
        <w:t>C</w:t>
      </w:r>
      <w:r w:rsidRPr="005A25D9">
        <w:t>ourt”)</w:t>
      </w:r>
      <w:r w:rsidR="00127C06" w:rsidRPr="005A25D9">
        <w:t>,</w:t>
      </w:r>
      <w:r w:rsidRPr="005A25D9">
        <w:t xml:space="preserve"> seeking</w:t>
      </w:r>
      <w:r w:rsidR="00DB0C03" w:rsidRPr="005A25D9">
        <w:t xml:space="preserve"> </w:t>
      </w:r>
      <w:r w:rsidR="00E3405B" w:rsidRPr="005A25D9">
        <w:t>to have her</w:t>
      </w:r>
      <w:r w:rsidR="00DB0C03" w:rsidRPr="005A25D9">
        <w:t xml:space="preserve"> deprived of </w:t>
      </w:r>
      <w:r w:rsidR="00937B98" w:rsidRPr="005A25D9">
        <w:t>legal capacity</w:t>
      </w:r>
      <w:r w:rsidRPr="005A25D9">
        <w:t xml:space="preserve"> on the ground that she suffered from serious mental illness.</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8</w:t>
      </w:r>
      <w:r w:rsidRPr="005A25D9">
        <w:fldChar w:fldCharType="end"/>
      </w:r>
      <w:r w:rsidRPr="005A25D9">
        <w:t xml:space="preserve">.  Following </w:t>
      </w:r>
      <w:r w:rsidR="00CA15A3" w:rsidRPr="005A25D9">
        <w:t xml:space="preserve">a request by </w:t>
      </w:r>
      <w:r w:rsidRPr="005A25D9">
        <w:t xml:space="preserve">the </w:t>
      </w:r>
      <w:r w:rsidR="00CA15A3" w:rsidRPr="005A25D9">
        <w:t>D</w:t>
      </w:r>
      <w:r w:rsidRPr="005A25D9">
        <w:t xml:space="preserve">istrict </w:t>
      </w:r>
      <w:r w:rsidR="00CA15A3" w:rsidRPr="005A25D9">
        <w:t>C</w:t>
      </w:r>
      <w:r w:rsidRPr="005A25D9">
        <w:t xml:space="preserve">ourt, on 5 June 2007 a forensic psychiatric expert issued an opinion stating that the applicant suffered from a chronic mental illness, namely paranoid schizophrenia, which prevented </w:t>
      </w:r>
      <w:r w:rsidR="00CA15A3" w:rsidRPr="005A25D9">
        <w:t xml:space="preserve">her </w:t>
      </w:r>
      <w:r w:rsidRPr="005A25D9">
        <w:t>from comprehending and controlling her actions.</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9</w:t>
      </w:r>
      <w:r w:rsidRPr="005A25D9">
        <w:fldChar w:fldCharType="end"/>
      </w:r>
      <w:r w:rsidRPr="005A25D9">
        <w:t xml:space="preserve">.  On 10 July 2007 the </w:t>
      </w:r>
      <w:r w:rsidR="00FE2C38" w:rsidRPr="005A25D9">
        <w:t>D</w:t>
      </w:r>
      <w:r w:rsidRPr="005A25D9">
        <w:t xml:space="preserve">istrict </w:t>
      </w:r>
      <w:r w:rsidR="00FE2C38" w:rsidRPr="005A25D9">
        <w:t>C</w:t>
      </w:r>
      <w:r w:rsidRPr="005A25D9">
        <w:t>ourt deprived the applicant of her legal capacity. The decision was not appealed against and became final.</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10</w:t>
      </w:r>
      <w:r w:rsidRPr="005A25D9">
        <w:fldChar w:fldCharType="end"/>
      </w:r>
      <w:r w:rsidRPr="005A25D9">
        <w:t>.  On 21 November 2007 the applicant</w:t>
      </w:r>
      <w:r w:rsidR="00125DE6">
        <w:t>’</w:t>
      </w:r>
      <w:r w:rsidRPr="005A25D9">
        <w:t>s sister was assigned as the applicant</w:t>
      </w:r>
      <w:r w:rsidR="00125DE6">
        <w:t>’</w:t>
      </w:r>
      <w:r w:rsidRPr="005A25D9">
        <w:t>s guardian</w:t>
      </w:r>
      <w:r w:rsidR="00246F1F" w:rsidRPr="005A25D9">
        <w:t xml:space="preserve"> (</w:t>
      </w:r>
      <w:r w:rsidR="00246F1F" w:rsidRPr="005A25D9">
        <w:rPr>
          <w:i/>
          <w:lang w:val="uk-UA"/>
        </w:rPr>
        <w:t>опікун</w:t>
      </w:r>
      <w:r w:rsidR="00246F1F" w:rsidRPr="005A25D9">
        <w:t>)</w:t>
      </w:r>
      <w:r w:rsidRPr="005A25D9">
        <w:t>.</w:t>
      </w:r>
    </w:p>
    <w:p w:rsidR="00DF53C0"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11</w:t>
      </w:r>
      <w:r w:rsidRPr="005A25D9">
        <w:fldChar w:fldCharType="end"/>
      </w:r>
      <w:r w:rsidRPr="005A25D9">
        <w:t>.  Gradually, the applicant</w:t>
      </w:r>
      <w:r w:rsidR="00125DE6">
        <w:t>’</w:t>
      </w:r>
      <w:r w:rsidRPr="005A25D9">
        <w:t>s mental health improved</w:t>
      </w:r>
      <w:r w:rsidR="00FE2C38" w:rsidRPr="005A25D9">
        <w:t>,</w:t>
      </w:r>
      <w:r w:rsidRPr="005A25D9">
        <w:t xml:space="preserve"> so that on </w:t>
      </w:r>
      <w:r w:rsidR="00895E85" w:rsidRPr="005A25D9">
        <w:t>3 </w:t>
      </w:r>
      <w:r w:rsidRPr="005A25D9">
        <w:t>April</w:t>
      </w:r>
      <w:r w:rsidR="00895E85" w:rsidRPr="005A25D9">
        <w:t> </w:t>
      </w:r>
      <w:r w:rsidRPr="005A25D9">
        <w:t>2008 she took up a position at a local factory.</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12</w:t>
      </w:r>
      <w:r w:rsidRPr="005A25D9">
        <w:fldChar w:fldCharType="end"/>
      </w:r>
      <w:r w:rsidRPr="005A25D9">
        <w:t>.  In 2009 the applicant</w:t>
      </w:r>
      <w:r w:rsidR="00125DE6">
        <w:t>’</w:t>
      </w:r>
      <w:r w:rsidRPr="005A25D9">
        <w:t xml:space="preserve">s guardian applied to the </w:t>
      </w:r>
      <w:r w:rsidR="00FE2C38" w:rsidRPr="005A25D9">
        <w:t>D</w:t>
      </w:r>
      <w:r w:rsidRPr="005A25D9">
        <w:t xml:space="preserve">istrict </w:t>
      </w:r>
      <w:r w:rsidR="00FE2C38" w:rsidRPr="005A25D9">
        <w:t>C</w:t>
      </w:r>
      <w:r w:rsidRPr="005A25D9">
        <w:t>ourt for restoration of the applicant</w:t>
      </w:r>
      <w:r w:rsidR="00125DE6">
        <w:t>’</w:t>
      </w:r>
      <w:r w:rsidRPr="005A25D9">
        <w:t xml:space="preserve">s legal capacity. However, on 30 October 2009 the application was dismissed without being considered on the merits </w:t>
      </w:r>
      <w:r w:rsidR="00FE2C38" w:rsidRPr="005A25D9">
        <w:t xml:space="preserve">owing </w:t>
      </w:r>
      <w:r w:rsidRPr="005A25D9">
        <w:t>to the guardian</w:t>
      </w:r>
      <w:r w:rsidR="00125DE6">
        <w:t>’</w:t>
      </w:r>
      <w:r w:rsidRPr="005A25D9">
        <w:t xml:space="preserve">s repeated failure to appear </w:t>
      </w:r>
      <w:r w:rsidR="00FE2C38" w:rsidRPr="005A25D9">
        <w:t xml:space="preserve">in </w:t>
      </w:r>
      <w:r w:rsidRPr="005A25D9">
        <w:t>court.</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13</w:t>
      </w:r>
      <w:r w:rsidRPr="005A25D9">
        <w:fldChar w:fldCharType="end"/>
      </w:r>
      <w:r w:rsidRPr="005A25D9">
        <w:t xml:space="preserve">.  On 1 November 2010 the applicant applied on her own to the </w:t>
      </w:r>
      <w:r w:rsidR="00127C06" w:rsidRPr="005A25D9">
        <w:t>D</w:t>
      </w:r>
      <w:r w:rsidRPr="005A25D9">
        <w:t xml:space="preserve">istrict </w:t>
      </w:r>
      <w:r w:rsidR="00127C06" w:rsidRPr="005A25D9">
        <w:t>C</w:t>
      </w:r>
      <w:r w:rsidRPr="005A25D9">
        <w:t>ourt</w:t>
      </w:r>
      <w:r w:rsidR="00FE2C38" w:rsidRPr="005A25D9">
        <w:t>,</w:t>
      </w:r>
      <w:r w:rsidRPr="005A25D9">
        <w:t xml:space="preserve"> seeking restoration of her legal capacity. She specified that Article</w:t>
      </w:r>
      <w:r w:rsidR="00895E85" w:rsidRPr="005A25D9">
        <w:t xml:space="preserve"> </w:t>
      </w:r>
      <w:r w:rsidRPr="005A25D9">
        <w:t>241</w:t>
      </w:r>
      <w:r w:rsidR="00895E85" w:rsidRPr="005A25D9">
        <w:t xml:space="preserve"> </w:t>
      </w:r>
      <w:r w:rsidRPr="005A25D9">
        <w:t>§</w:t>
      </w:r>
      <w:r w:rsidR="00895E85" w:rsidRPr="005A25D9">
        <w:t xml:space="preserve"> </w:t>
      </w:r>
      <w:r w:rsidRPr="005A25D9">
        <w:t xml:space="preserve">4 of the Code of Civil Procedure, </w:t>
      </w:r>
      <w:r w:rsidR="00FE2C38" w:rsidRPr="005A25D9">
        <w:t xml:space="preserve">which did not </w:t>
      </w:r>
      <w:r w:rsidRPr="005A25D9">
        <w:t>provid</w:t>
      </w:r>
      <w:r w:rsidR="00FE2C38" w:rsidRPr="005A25D9">
        <w:t>e for the</w:t>
      </w:r>
      <w:r w:rsidRPr="005A25D9">
        <w:t xml:space="preserve"> right </w:t>
      </w:r>
      <w:r w:rsidR="00FE2C38" w:rsidRPr="005A25D9">
        <w:t xml:space="preserve">for an incapacitated person </w:t>
      </w:r>
      <w:r w:rsidRPr="005A25D9">
        <w:t>to submit such an application, was not compatible with international legal standards and was discriminatory.</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14</w:t>
      </w:r>
      <w:r w:rsidRPr="005A25D9">
        <w:fldChar w:fldCharType="end"/>
      </w:r>
      <w:r w:rsidRPr="005A25D9">
        <w:t xml:space="preserve">.  On 4 November 2010 the </w:t>
      </w:r>
      <w:r w:rsidR="00FE2C38" w:rsidRPr="005A25D9">
        <w:t>D</w:t>
      </w:r>
      <w:r w:rsidRPr="005A25D9">
        <w:t xml:space="preserve">istrict </w:t>
      </w:r>
      <w:r w:rsidR="00FE2C38" w:rsidRPr="005A25D9">
        <w:t>C</w:t>
      </w:r>
      <w:r w:rsidRPr="005A25D9">
        <w:t>ourt returned the application to the applicant without considering it on the merits</w:t>
      </w:r>
      <w:r w:rsidR="00FE2C38" w:rsidRPr="005A25D9">
        <w:t>,</w:t>
      </w:r>
      <w:r w:rsidRPr="005A25D9">
        <w:t xml:space="preserve"> noting that, by virtue of Article 121</w:t>
      </w:r>
      <w:r w:rsidR="00895E85" w:rsidRPr="005A25D9">
        <w:t xml:space="preserve"> </w:t>
      </w:r>
      <w:r w:rsidRPr="005A25D9">
        <w:t>§</w:t>
      </w:r>
      <w:r w:rsidR="00895E85" w:rsidRPr="005A25D9">
        <w:t xml:space="preserve"> </w:t>
      </w:r>
      <w:r w:rsidRPr="005A25D9">
        <w:t xml:space="preserve">3 and </w:t>
      </w:r>
      <w:r w:rsidR="00FE2C38" w:rsidRPr="005A25D9">
        <w:t xml:space="preserve">Article </w:t>
      </w:r>
      <w:r w:rsidRPr="005A25D9">
        <w:t>241</w:t>
      </w:r>
      <w:r w:rsidR="00895E85" w:rsidRPr="005A25D9">
        <w:t xml:space="preserve"> </w:t>
      </w:r>
      <w:r w:rsidRPr="005A25D9">
        <w:t>§</w:t>
      </w:r>
      <w:r w:rsidR="00895E85" w:rsidRPr="005A25D9">
        <w:t xml:space="preserve"> </w:t>
      </w:r>
      <w:r w:rsidRPr="005A25D9">
        <w:t xml:space="preserve">4 of the </w:t>
      </w:r>
      <w:r w:rsidR="00441AA3" w:rsidRPr="005A25D9">
        <w:t>Code of Civil Procedure</w:t>
      </w:r>
      <w:r w:rsidRPr="005A25D9">
        <w:t>, the applicant was not entitled to submit such an application.</w:t>
      </w:r>
    </w:p>
    <w:p w:rsidR="004171AB" w:rsidRPr="005A25D9" w:rsidRDefault="004171AB" w:rsidP="004171AB">
      <w:pPr>
        <w:pStyle w:val="JuPara"/>
      </w:pPr>
      <w:r w:rsidRPr="005A25D9">
        <w:fldChar w:fldCharType="begin"/>
      </w:r>
      <w:r w:rsidRPr="005A25D9">
        <w:instrText xml:space="preserve"> SEQ level0 \*arabic </w:instrText>
      </w:r>
      <w:r w:rsidRPr="005A25D9">
        <w:fldChar w:fldCharType="separate"/>
      </w:r>
      <w:r w:rsidR="00317F48">
        <w:rPr>
          <w:noProof/>
        </w:rPr>
        <w:t>15</w:t>
      </w:r>
      <w:r w:rsidRPr="005A25D9">
        <w:fldChar w:fldCharType="end"/>
      </w:r>
      <w:r w:rsidRPr="005A25D9">
        <w:t>.  </w:t>
      </w:r>
      <w:r w:rsidR="000B0ACB" w:rsidRPr="005A25D9">
        <w:t xml:space="preserve"> On 12</w:t>
      </w:r>
      <w:r w:rsidR="00895E85" w:rsidRPr="005A25D9">
        <w:t xml:space="preserve"> </w:t>
      </w:r>
      <w:r w:rsidR="000B0ACB" w:rsidRPr="005A25D9">
        <w:t>January 2011 the court of appeal dismissed the applicant</w:t>
      </w:r>
      <w:r w:rsidR="00125DE6">
        <w:t>’</w:t>
      </w:r>
      <w:r w:rsidR="000B0ACB" w:rsidRPr="005A25D9">
        <w:t>s appeal against the decision of 4 November 2010 noting that Article 241</w:t>
      </w:r>
      <w:r w:rsidR="00895E85" w:rsidRPr="005A25D9">
        <w:t xml:space="preserve"> </w:t>
      </w:r>
      <w:r w:rsidR="000B0ACB" w:rsidRPr="005A25D9">
        <w:t>§</w:t>
      </w:r>
      <w:r w:rsidR="00895E85" w:rsidRPr="005A25D9">
        <w:t xml:space="preserve"> </w:t>
      </w:r>
      <w:r w:rsidR="000B0ACB" w:rsidRPr="005A25D9">
        <w:t xml:space="preserve">4 of the Code of Civil Procedure did not provide the applicant with the right to lodge </w:t>
      </w:r>
      <w:r w:rsidR="00E171CB">
        <w:t>an</w:t>
      </w:r>
      <w:r w:rsidR="000B0ACB" w:rsidRPr="005A25D9">
        <w:t xml:space="preserve"> application for restoration of her legal capacity. The District Court</w:t>
      </w:r>
      <w:r w:rsidR="00E171CB">
        <w:t xml:space="preserve"> had</w:t>
      </w:r>
      <w:r w:rsidR="000B0ACB" w:rsidRPr="005A25D9">
        <w:t xml:space="preserve"> therefore lawfully returned the application without considering it on the merits, as required by Article 121</w:t>
      </w:r>
      <w:r w:rsidR="00895E85" w:rsidRPr="005A25D9">
        <w:t xml:space="preserve"> </w:t>
      </w:r>
      <w:r w:rsidR="000B0ACB" w:rsidRPr="005A25D9">
        <w:t>§</w:t>
      </w:r>
      <w:r w:rsidR="00895E85" w:rsidRPr="005A25D9">
        <w:t xml:space="preserve"> </w:t>
      </w:r>
      <w:r w:rsidR="000B0ACB" w:rsidRPr="005A25D9">
        <w:t xml:space="preserve">3 of that Code. On 12 March 2011 </w:t>
      </w:r>
      <w:r w:rsidR="000B0ACB" w:rsidRPr="005A25D9" w:rsidDel="008970EC">
        <w:t xml:space="preserve">the </w:t>
      </w:r>
      <w:r w:rsidR="000B0ACB" w:rsidRPr="005A25D9">
        <w:t>court of cassation dismissed as unfounded the applicant</w:t>
      </w:r>
      <w:r w:rsidR="00125DE6">
        <w:t>’</w:t>
      </w:r>
      <w:r w:rsidR="000B0ACB" w:rsidRPr="005A25D9">
        <w:t>s appeal on points of law.</w:t>
      </w:r>
    </w:p>
    <w:p w:rsidR="00DF53C0" w:rsidRPr="005A25D9" w:rsidRDefault="007352DD" w:rsidP="008824B9">
      <w:pPr>
        <w:pStyle w:val="JuHIRoman"/>
        <w:outlineLvl w:val="0"/>
      </w:pPr>
      <w:r w:rsidRPr="005A25D9">
        <w:t>II.  RELEVANT DOMESTIC LAW</w:t>
      </w:r>
    </w:p>
    <w:p w:rsidR="00137129" w:rsidRPr="005A25D9" w:rsidRDefault="00137129" w:rsidP="00137129">
      <w:pPr>
        <w:pStyle w:val="JuHA"/>
      </w:pPr>
      <w:r w:rsidRPr="005A25D9">
        <w:t>A.  Civil Code of 16 January 2003</w:t>
      </w:r>
    </w:p>
    <w:p w:rsidR="00137129" w:rsidRPr="005A25D9" w:rsidRDefault="00137129" w:rsidP="00137129">
      <w:pPr>
        <w:pStyle w:val="JuPara"/>
      </w:pPr>
      <w:r w:rsidRPr="005A25D9">
        <w:fldChar w:fldCharType="begin"/>
      </w:r>
      <w:r w:rsidRPr="005A25D9">
        <w:instrText xml:space="preserve"> SEQ level0 \*arabic </w:instrText>
      </w:r>
      <w:r w:rsidRPr="005A25D9">
        <w:fldChar w:fldCharType="separate"/>
      </w:r>
      <w:r w:rsidR="00317F48">
        <w:rPr>
          <w:noProof/>
        </w:rPr>
        <w:t>16</w:t>
      </w:r>
      <w:r w:rsidRPr="005A25D9">
        <w:fldChar w:fldCharType="end"/>
      </w:r>
      <w:r w:rsidRPr="005A25D9">
        <w:t xml:space="preserve">.  Article 67 of the Code provides that </w:t>
      </w:r>
      <w:r w:rsidR="00E3405B" w:rsidRPr="005A25D9">
        <w:t xml:space="preserve">a </w:t>
      </w:r>
      <w:r w:rsidRPr="005A25D9">
        <w:t>guardian is obliged to take measures for the protection of the civil rights and interests of the person who is under his or her guardianship.</w:t>
      </w:r>
    </w:p>
    <w:p w:rsidR="00977BAF" w:rsidRPr="005A25D9" w:rsidRDefault="00137129" w:rsidP="00977BAF">
      <w:pPr>
        <w:pStyle w:val="JuHA"/>
      </w:pPr>
      <w:r w:rsidRPr="005A25D9">
        <w:t>B.  </w:t>
      </w:r>
      <w:r w:rsidR="00977BAF" w:rsidRPr="005A25D9">
        <w:t>Code of Civil Procedure of 18 March 2004</w:t>
      </w:r>
    </w:p>
    <w:p w:rsidR="00977BAF" w:rsidRPr="005A25D9" w:rsidRDefault="00977BAF" w:rsidP="00977BAF">
      <w:pPr>
        <w:pStyle w:val="JuPara"/>
      </w:pPr>
      <w:r w:rsidRPr="005A25D9">
        <w:fldChar w:fldCharType="begin"/>
      </w:r>
      <w:r w:rsidRPr="005A25D9">
        <w:instrText xml:space="preserve"> SEQ level0 \*arabic </w:instrText>
      </w:r>
      <w:r w:rsidRPr="005A25D9">
        <w:fldChar w:fldCharType="separate"/>
      </w:r>
      <w:r w:rsidR="00317F48">
        <w:rPr>
          <w:noProof/>
        </w:rPr>
        <w:t>17</w:t>
      </w:r>
      <w:r w:rsidRPr="005A25D9">
        <w:fldChar w:fldCharType="end"/>
      </w:r>
      <w:r w:rsidRPr="005A25D9">
        <w:t>.  Article 121</w:t>
      </w:r>
      <w:r w:rsidR="00522D09" w:rsidRPr="005A25D9">
        <w:t xml:space="preserve"> </w:t>
      </w:r>
      <w:r w:rsidRPr="005A25D9">
        <w:t>§</w:t>
      </w:r>
      <w:r w:rsidR="00522D09" w:rsidRPr="005A25D9">
        <w:t xml:space="preserve"> </w:t>
      </w:r>
      <w:r w:rsidRPr="005A25D9">
        <w:t>3 of the Code</w:t>
      </w:r>
      <w:r w:rsidR="008F66F2" w:rsidRPr="005A25D9">
        <w:t xml:space="preserve"> provides that</w:t>
      </w:r>
      <w:r w:rsidRPr="005A25D9">
        <w:t xml:space="preserve"> a court </w:t>
      </w:r>
      <w:r w:rsidR="008F66F2" w:rsidRPr="005A25D9">
        <w:t>can</w:t>
      </w:r>
      <w:r w:rsidRPr="005A25D9">
        <w:t xml:space="preserve">not accept a claim for consideration on the merits if it has been submitted by a person </w:t>
      </w:r>
      <w:r w:rsidR="00DB0C03" w:rsidRPr="005A25D9">
        <w:t>deprived</w:t>
      </w:r>
      <w:r w:rsidR="00127C06" w:rsidRPr="005A25D9">
        <w:t xml:space="preserve"> </w:t>
      </w:r>
      <w:r w:rsidR="00DB0C03" w:rsidRPr="005A25D9">
        <w:t xml:space="preserve">of </w:t>
      </w:r>
      <w:r w:rsidRPr="005A25D9">
        <w:t>legal capacity.</w:t>
      </w:r>
    </w:p>
    <w:p w:rsidR="00977BAF" w:rsidRPr="005A25D9" w:rsidRDefault="000802E2" w:rsidP="00977BAF">
      <w:pPr>
        <w:pStyle w:val="JuPara"/>
      </w:pPr>
      <w:r w:rsidRPr="005A25D9">
        <w:fldChar w:fldCharType="begin"/>
      </w:r>
      <w:r w:rsidRPr="005A25D9">
        <w:instrText xml:space="preserve"> SEQ level0 \*arabic </w:instrText>
      </w:r>
      <w:r w:rsidRPr="005A25D9">
        <w:fldChar w:fldCharType="separate"/>
      </w:r>
      <w:r w:rsidR="00317F48">
        <w:rPr>
          <w:noProof/>
        </w:rPr>
        <w:t>18</w:t>
      </w:r>
      <w:r w:rsidRPr="005A25D9">
        <w:fldChar w:fldCharType="end"/>
      </w:r>
      <w:r w:rsidRPr="005A25D9">
        <w:t>.  </w:t>
      </w:r>
      <w:r w:rsidR="00977BAF" w:rsidRPr="005A25D9">
        <w:t>Article 241</w:t>
      </w:r>
      <w:r w:rsidR="00522D09" w:rsidRPr="005A25D9">
        <w:t xml:space="preserve"> </w:t>
      </w:r>
      <w:r w:rsidR="00977BAF" w:rsidRPr="005A25D9">
        <w:t>§</w:t>
      </w:r>
      <w:r w:rsidR="00522D09" w:rsidRPr="005A25D9">
        <w:t xml:space="preserve"> </w:t>
      </w:r>
      <w:r w:rsidR="00977BAF" w:rsidRPr="005A25D9">
        <w:t xml:space="preserve">4 of the Code provides that </w:t>
      </w:r>
      <w:r w:rsidR="008F66F2" w:rsidRPr="005A25D9">
        <w:t xml:space="preserve">a </w:t>
      </w:r>
      <w:r w:rsidR="00977BAF" w:rsidRPr="005A25D9">
        <w:t xml:space="preserve">court decision declaring a physical person entirely incapable may be quashed and the legal capacity of that person may be restored by another court decision provided that the person has been cured or </w:t>
      </w:r>
      <w:r w:rsidR="008F66F2" w:rsidRPr="005A25D9">
        <w:t xml:space="preserve">his or </w:t>
      </w:r>
      <w:r w:rsidR="00977BAF" w:rsidRPr="005A25D9">
        <w:t xml:space="preserve">her mental state has significantly improved. Such a decision </w:t>
      </w:r>
      <w:r w:rsidR="008F66F2" w:rsidRPr="005A25D9">
        <w:t xml:space="preserve">is to </w:t>
      </w:r>
      <w:r w:rsidR="00977BAF" w:rsidRPr="005A25D9">
        <w:t xml:space="preserve">be taken upon </w:t>
      </w:r>
      <w:r w:rsidR="008F66F2" w:rsidRPr="005A25D9">
        <w:t xml:space="preserve">an </w:t>
      </w:r>
      <w:r w:rsidR="00977BAF" w:rsidRPr="005A25D9">
        <w:t xml:space="preserve">application submitted by the guardian or the guardianship </w:t>
      </w:r>
      <w:r w:rsidR="00282104" w:rsidRPr="005A25D9">
        <w:t>authority (</w:t>
      </w:r>
      <w:r w:rsidR="00282104" w:rsidRPr="005864A1">
        <w:rPr>
          <w:i/>
          <w:lang w:val="uk-UA"/>
        </w:rPr>
        <w:t>орган опіки та піклування</w:t>
      </w:r>
      <w:r w:rsidR="00282104" w:rsidRPr="005A25D9">
        <w:t>)</w:t>
      </w:r>
      <w:r w:rsidR="00977BAF" w:rsidRPr="005A25D9">
        <w:t xml:space="preserve"> and </w:t>
      </w:r>
      <w:r w:rsidR="008F66F2" w:rsidRPr="005A25D9">
        <w:t xml:space="preserve">must </w:t>
      </w:r>
      <w:r w:rsidR="00977BAF" w:rsidRPr="005A25D9">
        <w:t xml:space="preserve">be supported by relevant </w:t>
      </w:r>
      <w:r w:rsidR="008F66F2" w:rsidRPr="005A25D9">
        <w:t xml:space="preserve">conclusions by a </w:t>
      </w:r>
      <w:r w:rsidR="00977BAF" w:rsidRPr="005A25D9">
        <w:t>forensic psychiatric expert.</w:t>
      </w:r>
    </w:p>
    <w:p w:rsidR="00B95CFD" w:rsidRPr="005A25D9" w:rsidRDefault="00282104" w:rsidP="00432C98">
      <w:pPr>
        <w:pStyle w:val="JuHA"/>
      </w:pPr>
      <w:r w:rsidRPr="005A25D9">
        <w:t>C.</w:t>
      </w:r>
      <w:r w:rsidR="00522D09" w:rsidRPr="005A25D9">
        <w:t>  </w:t>
      </w:r>
      <w:r w:rsidRPr="005A25D9">
        <w:t xml:space="preserve">Order of 26 May 1999 </w:t>
      </w:r>
      <w:r w:rsidR="00432C98" w:rsidRPr="005A25D9">
        <w:t xml:space="preserve">(No. 34/166/131/88) approved </w:t>
      </w:r>
      <w:r w:rsidRPr="005A25D9">
        <w:t xml:space="preserve">by </w:t>
      </w:r>
      <w:r w:rsidR="00432C98" w:rsidRPr="005A25D9">
        <w:t xml:space="preserve">the </w:t>
      </w:r>
      <w:r w:rsidRPr="005A25D9">
        <w:t xml:space="preserve">State Committee </w:t>
      </w:r>
      <w:r w:rsidR="00432C98" w:rsidRPr="005A25D9">
        <w:t>on Family and Youth</w:t>
      </w:r>
      <w:r w:rsidR="00E3405B" w:rsidRPr="005A25D9">
        <w:t xml:space="preserve"> Matters</w:t>
      </w:r>
      <w:r w:rsidR="00432C98" w:rsidRPr="005A25D9">
        <w:t>, the Ministry of Education, the Ministry of Health</w:t>
      </w:r>
      <w:r w:rsidR="00E3405B" w:rsidRPr="005A25D9">
        <w:t xml:space="preserve"> and</w:t>
      </w:r>
      <w:r w:rsidR="00432C98" w:rsidRPr="005A25D9">
        <w:t xml:space="preserve"> the Ministry of Labour and Social Policy</w:t>
      </w:r>
    </w:p>
    <w:p w:rsidR="00B95CFD" w:rsidRPr="005A25D9" w:rsidRDefault="006016F7" w:rsidP="00977BAF">
      <w:pPr>
        <w:pStyle w:val="JuPara"/>
      </w:pPr>
      <w:r w:rsidRPr="005A25D9">
        <w:fldChar w:fldCharType="begin"/>
      </w:r>
      <w:r w:rsidRPr="005A25D9">
        <w:instrText xml:space="preserve"> SEQ level0 \*arabic </w:instrText>
      </w:r>
      <w:r w:rsidRPr="005A25D9">
        <w:fldChar w:fldCharType="separate"/>
      </w:r>
      <w:r w:rsidR="00317F48">
        <w:rPr>
          <w:noProof/>
        </w:rPr>
        <w:t>19</w:t>
      </w:r>
      <w:r w:rsidRPr="005A25D9">
        <w:fldChar w:fldCharType="end"/>
      </w:r>
      <w:r w:rsidRPr="005A25D9">
        <w:t>.  </w:t>
      </w:r>
      <w:r w:rsidR="00E3405B" w:rsidRPr="005A25D9">
        <w:t>T</w:t>
      </w:r>
      <w:r w:rsidRPr="005A25D9">
        <w:t>h</w:t>
      </w:r>
      <w:r w:rsidR="00E3405B" w:rsidRPr="005A25D9">
        <w:t>is</w:t>
      </w:r>
      <w:r w:rsidR="00282104" w:rsidRPr="005A25D9">
        <w:t xml:space="preserve"> </w:t>
      </w:r>
      <w:r w:rsidRPr="005A25D9">
        <w:t>O</w:t>
      </w:r>
      <w:r w:rsidR="00282104" w:rsidRPr="005A25D9">
        <w:t>rder</w:t>
      </w:r>
      <w:r w:rsidR="00E3405B" w:rsidRPr="005A25D9">
        <w:t xml:space="preserve"> requires</w:t>
      </w:r>
      <w:r w:rsidRPr="005A25D9">
        <w:t xml:space="preserve"> the </w:t>
      </w:r>
      <w:r w:rsidR="00282104" w:rsidRPr="005A25D9">
        <w:t xml:space="preserve">guardianship </w:t>
      </w:r>
      <w:r w:rsidRPr="005A25D9">
        <w:t xml:space="preserve">authorities, among other things, </w:t>
      </w:r>
      <w:r w:rsidR="00E3405B" w:rsidRPr="005A25D9">
        <w:t xml:space="preserve">to </w:t>
      </w:r>
      <w:r w:rsidRPr="005A25D9">
        <w:t xml:space="preserve">supervise the activities of guardians and </w:t>
      </w:r>
      <w:r w:rsidR="00E3405B" w:rsidRPr="005A25D9">
        <w:t xml:space="preserve">to </w:t>
      </w:r>
      <w:r w:rsidRPr="005A25D9">
        <w:t>take measures for the protection of the rights of persons who have been placed under guardianship.</w:t>
      </w:r>
    </w:p>
    <w:p w:rsidR="00F71A6A" w:rsidRPr="005A25D9" w:rsidRDefault="00F71A6A" w:rsidP="008824B9">
      <w:pPr>
        <w:pStyle w:val="JuHHead"/>
      </w:pPr>
      <w:r w:rsidRPr="005A25D9">
        <w:t>THE LAW</w:t>
      </w:r>
    </w:p>
    <w:p w:rsidR="00F71A6A" w:rsidRPr="005A25D9" w:rsidRDefault="00F71A6A">
      <w:pPr>
        <w:pStyle w:val="JuHIRoman"/>
      </w:pPr>
      <w:r w:rsidRPr="005A25D9">
        <w:t xml:space="preserve">I.  ALLEGED VIOLATION OF ARTICLE </w:t>
      </w:r>
      <w:r w:rsidR="00CF2F4F" w:rsidRPr="005A25D9">
        <w:t>6</w:t>
      </w:r>
      <w:r w:rsidR="00522D09" w:rsidRPr="005A25D9">
        <w:t xml:space="preserve"> </w:t>
      </w:r>
      <w:r w:rsidR="00CF2F4F" w:rsidRPr="005A25D9">
        <w:t>§</w:t>
      </w:r>
      <w:r w:rsidR="00522D09" w:rsidRPr="005A25D9">
        <w:t xml:space="preserve"> </w:t>
      </w:r>
      <w:r w:rsidR="00CF2F4F" w:rsidRPr="005A25D9">
        <w:t>1</w:t>
      </w:r>
      <w:r w:rsidRPr="005A25D9">
        <w:t xml:space="preserve"> OF THE CONVENTION</w:t>
      </w:r>
    </w:p>
    <w:p w:rsidR="00DF53C0"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20</w:t>
      </w:r>
      <w:r w:rsidRPr="005A25D9">
        <w:fldChar w:fldCharType="end"/>
      </w:r>
      <w:r w:rsidR="00F71A6A" w:rsidRPr="005A25D9">
        <w:t xml:space="preserve">.  The </w:t>
      </w:r>
      <w:r w:rsidR="005F4753" w:rsidRPr="005A25D9">
        <w:t>applicant</w:t>
      </w:r>
      <w:r w:rsidR="00F71A6A" w:rsidRPr="005A25D9">
        <w:t xml:space="preserve"> complained </w:t>
      </w:r>
      <w:r w:rsidR="00CF2F4F" w:rsidRPr="005A25D9">
        <w:t>under Article 6</w:t>
      </w:r>
      <w:r w:rsidR="00522D09" w:rsidRPr="005A25D9">
        <w:t xml:space="preserve"> </w:t>
      </w:r>
      <w:r w:rsidR="00CF2F4F" w:rsidRPr="005A25D9">
        <w:t>§</w:t>
      </w:r>
      <w:r w:rsidR="00522D09" w:rsidRPr="005A25D9">
        <w:t xml:space="preserve"> </w:t>
      </w:r>
      <w:r w:rsidR="00CF2F4F" w:rsidRPr="005A25D9">
        <w:t xml:space="preserve">1 and </w:t>
      </w:r>
      <w:r w:rsidR="008F66F2" w:rsidRPr="005A25D9">
        <w:t xml:space="preserve">Article </w:t>
      </w:r>
      <w:r w:rsidR="00CF2F4F" w:rsidRPr="005A25D9">
        <w:t xml:space="preserve">13 of the Convention </w:t>
      </w:r>
      <w:r w:rsidR="00F71A6A" w:rsidRPr="005A25D9">
        <w:t xml:space="preserve">that </w:t>
      </w:r>
      <w:r w:rsidR="008F66F2" w:rsidRPr="005A25D9">
        <w:t xml:space="preserve">it </w:t>
      </w:r>
      <w:r w:rsidR="00CF2F4F" w:rsidRPr="005A25D9">
        <w:t>had no</w:t>
      </w:r>
      <w:r w:rsidR="008F66F2" w:rsidRPr="005A25D9">
        <w:t>t been</w:t>
      </w:r>
      <w:r w:rsidR="00CF2F4F" w:rsidRPr="005A25D9">
        <w:t xml:space="preserve"> possib</w:t>
      </w:r>
      <w:r w:rsidR="008F66F2" w:rsidRPr="005A25D9">
        <w:t>le for her</w:t>
      </w:r>
      <w:r w:rsidR="00CF2F4F" w:rsidRPr="005A25D9">
        <w:t xml:space="preserve"> to apply </w:t>
      </w:r>
      <w:r w:rsidR="008F66F2" w:rsidRPr="005A25D9">
        <w:t xml:space="preserve">directly </w:t>
      </w:r>
      <w:r w:rsidR="00CF2F4F" w:rsidRPr="005A25D9">
        <w:t xml:space="preserve">to </w:t>
      </w:r>
      <w:r w:rsidR="008F66F2" w:rsidRPr="005A25D9">
        <w:t xml:space="preserve">a </w:t>
      </w:r>
      <w:r w:rsidR="00CF2F4F" w:rsidRPr="005A25D9">
        <w:t>court for restoration of her legal capacity.</w:t>
      </w:r>
    </w:p>
    <w:p w:rsidR="00CF2F4F" w:rsidRPr="005A25D9" w:rsidRDefault="00CF2F4F" w:rsidP="002F4BCF">
      <w:pPr>
        <w:pStyle w:val="JuPara"/>
      </w:pPr>
      <w:r w:rsidRPr="005A25D9">
        <w:fldChar w:fldCharType="begin"/>
      </w:r>
      <w:r w:rsidRPr="005A25D9">
        <w:instrText xml:space="preserve"> SEQ level0 \*arabic </w:instrText>
      </w:r>
      <w:r w:rsidRPr="005A25D9">
        <w:fldChar w:fldCharType="separate"/>
      </w:r>
      <w:r w:rsidR="00317F48">
        <w:rPr>
          <w:noProof/>
        </w:rPr>
        <w:t>21</w:t>
      </w:r>
      <w:r w:rsidRPr="005A25D9">
        <w:fldChar w:fldCharType="end"/>
      </w:r>
      <w:r w:rsidRPr="005A25D9">
        <w:t xml:space="preserve">.  The Court </w:t>
      </w:r>
      <w:r w:rsidR="008F66F2" w:rsidRPr="005A25D9">
        <w:t>considers that this</w:t>
      </w:r>
      <w:r w:rsidRPr="005A25D9">
        <w:t xml:space="preserve"> complaint </w:t>
      </w:r>
      <w:r w:rsidR="008F66F2" w:rsidRPr="005A25D9">
        <w:t xml:space="preserve">should be examined solely </w:t>
      </w:r>
      <w:r w:rsidRPr="005A25D9">
        <w:t>under Article 6</w:t>
      </w:r>
      <w:r w:rsidR="00522D09" w:rsidRPr="005A25D9">
        <w:t xml:space="preserve"> </w:t>
      </w:r>
      <w:r w:rsidRPr="005A25D9">
        <w:t>§</w:t>
      </w:r>
      <w:r w:rsidR="00522D09" w:rsidRPr="005A25D9">
        <w:t xml:space="preserve"> </w:t>
      </w:r>
      <w:r w:rsidRPr="005A25D9">
        <w:t>1</w:t>
      </w:r>
      <w:r w:rsidR="008F66F2" w:rsidRPr="005A25D9">
        <w:t>,</w:t>
      </w:r>
      <w:r w:rsidRPr="005A25D9">
        <w:t xml:space="preserve"> which provides, in so far as relevant:</w:t>
      </w:r>
    </w:p>
    <w:p w:rsidR="005B16A8" w:rsidRPr="005A25D9" w:rsidRDefault="00CF2F4F">
      <w:pPr>
        <w:pStyle w:val="JuQuot"/>
      </w:pPr>
      <w:r w:rsidRPr="005A25D9">
        <w:t>“In the determination of his civil rights and obligations ... everyone is entitled to a fair ... hearing ... by [a] ... tribunal ...”</w:t>
      </w:r>
    </w:p>
    <w:p w:rsidR="00F71A6A" w:rsidRPr="005A25D9" w:rsidRDefault="00F71A6A" w:rsidP="008824B9">
      <w:pPr>
        <w:pStyle w:val="JuHA"/>
        <w:outlineLvl w:val="0"/>
      </w:pPr>
      <w:r w:rsidRPr="005A25D9">
        <w:t>A.  Admissibility</w:t>
      </w:r>
    </w:p>
    <w:p w:rsidR="00CF2F4F" w:rsidRPr="005A25D9" w:rsidRDefault="00981C86" w:rsidP="00CF2F4F">
      <w:pPr>
        <w:pStyle w:val="JuH1"/>
      </w:pPr>
      <w:r>
        <w:t>1.  </w:t>
      </w:r>
      <w:r w:rsidR="00CF2F4F" w:rsidRPr="005A25D9">
        <w:t>The parties</w:t>
      </w:r>
      <w:r w:rsidR="00125DE6">
        <w:t>’</w:t>
      </w:r>
      <w:r w:rsidR="00CF2F4F" w:rsidRPr="005A25D9">
        <w:t xml:space="preserve"> submissions</w:t>
      </w:r>
    </w:p>
    <w:p w:rsidR="00CF2F4F"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22</w:t>
      </w:r>
      <w:r w:rsidRPr="005A25D9">
        <w:fldChar w:fldCharType="end"/>
      </w:r>
      <w:r w:rsidR="00F71A6A" w:rsidRPr="005A25D9">
        <w:t>.  </w:t>
      </w:r>
      <w:r w:rsidR="00CF2F4F" w:rsidRPr="005A25D9">
        <w:t xml:space="preserve">The Government contended that the </w:t>
      </w:r>
      <w:r w:rsidR="008F66F2" w:rsidRPr="005A25D9">
        <w:t>applicant</w:t>
      </w:r>
      <w:r w:rsidR="00125DE6">
        <w:t>’</w:t>
      </w:r>
      <w:r w:rsidR="008F66F2" w:rsidRPr="005A25D9">
        <w:t xml:space="preserve">s </w:t>
      </w:r>
      <w:r w:rsidR="00CF2F4F" w:rsidRPr="005A25D9">
        <w:t xml:space="preserve">complaint </w:t>
      </w:r>
      <w:r w:rsidR="008F66F2" w:rsidRPr="005A25D9">
        <w:t xml:space="preserve">had been </w:t>
      </w:r>
      <w:r w:rsidR="00CF2F4F" w:rsidRPr="005A25D9">
        <w:t>submitted outside the six-month period</w:t>
      </w:r>
      <w:r w:rsidR="000802E2" w:rsidRPr="005A25D9">
        <w:t xml:space="preserve"> </w:t>
      </w:r>
      <w:r w:rsidR="008F66F2" w:rsidRPr="005A25D9">
        <w:t>laid down in</w:t>
      </w:r>
      <w:r w:rsidR="000802E2" w:rsidRPr="005A25D9">
        <w:t xml:space="preserve"> Article 35</w:t>
      </w:r>
      <w:r w:rsidR="00522D09" w:rsidRPr="005A25D9">
        <w:t xml:space="preserve"> </w:t>
      </w:r>
      <w:r w:rsidR="000802E2" w:rsidRPr="005A25D9">
        <w:t>§</w:t>
      </w:r>
      <w:r w:rsidR="00522D09" w:rsidRPr="005A25D9">
        <w:t xml:space="preserve"> </w:t>
      </w:r>
      <w:r w:rsidR="000802E2" w:rsidRPr="005A25D9">
        <w:t>1 of the Convention</w:t>
      </w:r>
      <w:r w:rsidR="00CF2F4F" w:rsidRPr="005A25D9">
        <w:t xml:space="preserve">. They noted that </w:t>
      </w:r>
      <w:r w:rsidR="006729C8" w:rsidRPr="005A25D9">
        <w:t xml:space="preserve">the range of persons entitled to apply to a court for restoration of legal capacity was clearly defined by provisions of domestic law and </w:t>
      </w:r>
      <w:r w:rsidR="008F66F2" w:rsidRPr="005A25D9">
        <w:t xml:space="preserve">that </w:t>
      </w:r>
      <w:r w:rsidR="006729C8" w:rsidRPr="005A25D9">
        <w:t xml:space="preserve">the courts could not act contrary to those provisions. The Government further submitted that the applicant had </w:t>
      </w:r>
      <w:r w:rsidR="008F66F2" w:rsidRPr="005A25D9">
        <w:t xml:space="preserve">had </w:t>
      </w:r>
      <w:r w:rsidR="006729C8" w:rsidRPr="005A25D9">
        <w:t xml:space="preserve">no </w:t>
      </w:r>
      <w:r w:rsidR="000802E2" w:rsidRPr="005A25D9">
        <w:t xml:space="preserve">other </w:t>
      </w:r>
      <w:r w:rsidR="006729C8" w:rsidRPr="005A25D9">
        <w:t xml:space="preserve">effective remedies. They therefore suggested that the six-month </w:t>
      </w:r>
      <w:r w:rsidR="008F66F2" w:rsidRPr="005A25D9">
        <w:t>period</w:t>
      </w:r>
      <w:r w:rsidR="006729C8" w:rsidRPr="005A25D9">
        <w:t xml:space="preserve"> </w:t>
      </w:r>
      <w:r w:rsidR="008F66F2" w:rsidRPr="005A25D9">
        <w:t xml:space="preserve">had </w:t>
      </w:r>
      <w:r w:rsidR="006729C8" w:rsidRPr="005A25D9">
        <w:t xml:space="preserve">started to run from the date when </w:t>
      </w:r>
      <w:r w:rsidR="00B239C6" w:rsidRPr="005A25D9">
        <w:t xml:space="preserve">she </w:t>
      </w:r>
      <w:r w:rsidR="008F66F2" w:rsidRPr="005A25D9">
        <w:t xml:space="preserve">had </w:t>
      </w:r>
      <w:r w:rsidR="00B239C6" w:rsidRPr="005A25D9">
        <w:t>bec</w:t>
      </w:r>
      <w:r w:rsidR="008F66F2" w:rsidRPr="005A25D9">
        <w:t>o</w:t>
      </w:r>
      <w:r w:rsidR="00B239C6" w:rsidRPr="005A25D9">
        <w:t xml:space="preserve">me aware that </w:t>
      </w:r>
      <w:r w:rsidR="006729C8" w:rsidRPr="005A25D9">
        <w:t>her application</w:t>
      </w:r>
      <w:r w:rsidR="00B239C6" w:rsidRPr="005A25D9">
        <w:t xml:space="preserve"> for restoration of legal capacity </w:t>
      </w:r>
      <w:r w:rsidR="008F66F2" w:rsidRPr="005A25D9">
        <w:t xml:space="preserve">had been </w:t>
      </w:r>
      <w:r w:rsidR="00B239C6" w:rsidRPr="005A25D9">
        <w:t xml:space="preserve">dismissed by the </w:t>
      </w:r>
      <w:r w:rsidR="008F66F2" w:rsidRPr="005A25D9">
        <w:t>D</w:t>
      </w:r>
      <w:r w:rsidR="00B239C6" w:rsidRPr="005A25D9">
        <w:t xml:space="preserve">istrict </w:t>
      </w:r>
      <w:r w:rsidR="008F66F2" w:rsidRPr="005A25D9">
        <w:t>C</w:t>
      </w:r>
      <w:r w:rsidR="00B239C6" w:rsidRPr="005A25D9">
        <w:t>ourt</w:t>
      </w:r>
      <w:r w:rsidR="006729C8" w:rsidRPr="005A25D9">
        <w:t>.</w:t>
      </w:r>
    </w:p>
    <w:p w:rsidR="00DF53C0" w:rsidRPr="005A25D9" w:rsidRDefault="006729C8" w:rsidP="002F4BCF">
      <w:pPr>
        <w:pStyle w:val="JuPara"/>
      </w:pPr>
      <w:r w:rsidRPr="005A25D9">
        <w:fldChar w:fldCharType="begin"/>
      </w:r>
      <w:r w:rsidRPr="005A25D9">
        <w:instrText xml:space="preserve"> SEQ level0 \*arabic </w:instrText>
      </w:r>
      <w:r w:rsidRPr="005A25D9">
        <w:fldChar w:fldCharType="separate"/>
      </w:r>
      <w:r w:rsidR="00317F48">
        <w:rPr>
          <w:noProof/>
        </w:rPr>
        <w:t>23</w:t>
      </w:r>
      <w:r w:rsidRPr="005A25D9">
        <w:fldChar w:fldCharType="end"/>
      </w:r>
      <w:r w:rsidRPr="005A25D9">
        <w:t xml:space="preserve">.  The </w:t>
      </w:r>
      <w:r w:rsidR="00E124D4" w:rsidRPr="005A25D9">
        <w:t xml:space="preserve">applicant submitted that the </w:t>
      </w:r>
      <w:r w:rsidR="000802E2" w:rsidRPr="005A25D9">
        <w:t xml:space="preserve">six-month rule did not apply as </w:t>
      </w:r>
      <w:r w:rsidR="008F66F2" w:rsidRPr="005A25D9">
        <w:t xml:space="preserve">her </w:t>
      </w:r>
      <w:r w:rsidR="00E124D4" w:rsidRPr="005A25D9">
        <w:t>complaint referred to a continu</w:t>
      </w:r>
      <w:r w:rsidR="008F66F2" w:rsidRPr="005A25D9">
        <w:t>ing</w:t>
      </w:r>
      <w:r w:rsidR="00E124D4" w:rsidRPr="005A25D9">
        <w:t xml:space="preserve"> situation created </w:t>
      </w:r>
      <w:r w:rsidR="008F66F2" w:rsidRPr="005A25D9">
        <w:t xml:space="preserve">as a result of </w:t>
      </w:r>
      <w:r w:rsidR="00E124D4" w:rsidRPr="005A25D9">
        <w:t>the domestic legislation</w:t>
      </w:r>
      <w:r w:rsidR="003272D0" w:rsidRPr="005A25D9">
        <w:t>.</w:t>
      </w:r>
    </w:p>
    <w:p w:rsidR="00CF2F4F" w:rsidRPr="005A25D9" w:rsidRDefault="00981C86" w:rsidP="00CF2F4F">
      <w:pPr>
        <w:pStyle w:val="JuH1"/>
      </w:pPr>
      <w:r>
        <w:t>2.  </w:t>
      </w:r>
      <w:r w:rsidR="00CF2F4F" w:rsidRPr="005A25D9">
        <w:t>The Court</w:t>
      </w:r>
      <w:r w:rsidR="00125DE6">
        <w:t>’</w:t>
      </w:r>
      <w:r w:rsidR="00CF2F4F" w:rsidRPr="005A25D9">
        <w:t>s assessment</w:t>
      </w:r>
    </w:p>
    <w:p w:rsidR="003272D0" w:rsidRPr="005A25D9" w:rsidRDefault="00CF2F4F" w:rsidP="002F4BCF">
      <w:pPr>
        <w:pStyle w:val="JuPara"/>
        <w:rPr>
          <w:szCs w:val="24"/>
          <w:lang w:eastAsia="en-US"/>
        </w:rPr>
      </w:pPr>
      <w:r w:rsidRPr="005A25D9">
        <w:fldChar w:fldCharType="begin"/>
      </w:r>
      <w:r w:rsidRPr="005A25D9">
        <w:instrText xml:space="preserve"> SEQ level0 \*arabic </w:instrText>
      </w:r>
      <w:r w:rsidRPr="005A25D9">
        <w:fldChar w:fldCharType="separate"/>
      </w:r>
      <w:r w:rsidR="00317F48">
        <w:rPr>
          <w:noProof/>
        </w:rPr>
        <w:t>24</w:t>
      </w:r>
      <w:r w:rsidRPr="005A25D9">
        <w:fldChar w:fldCharType="end"/>
      </w:r>
      <w:r w:rsidRPr="005A25D9">
        <w:t>.  </w:t>
      </w:r>
      <w:r w:rsidR="006C6997" w:rsidRPr="005A25D9">
        <w:t>A</w:t>
      </w:r>
      <w:r w:rsidR="003272D0" w:rsidRPr="005A25D9">
        <w:rPr>
          <w:rStyle w:val="sb8d990e2"/>
        </w:rPr>
        <w:t xml:space="preserve">ccording to the </w:t>
      </w:r>
      <w:r w:rsidR="006C6997" w:rsidRPr="005A25D9">
        <w:rPr>
          <w:rStyle w:val="sb8d990e2"/>
        </w:rPr>
        <w:t>Court</w:t>
      </w:r>
      <w:r w:rsidR="00125DE6">
        <w:rPr>
          <w:rStyle w:val="sb8d990e2"/>
        </w:rPr>
        <w:t>’</w:t>
      </w:r>
      <w:r w:rsidR="006C6997" w:rsidRPr="005A25D9">
        <w:rPr>
          <w:rStyle w:val="sb8d990e2"/>
        </w:rPr>
        <w:t>s</w:t>
      </w:r>
      <w:r w:rsidR="003272D0" w:rsidRPr="005A25D9">
        <w:rPr>
          <w:rStyle w:val="sb8d990e2"/>
        </w:rPr>
        <w:t xml:space="preserve"> </w:t>
      </w:r>
      <w:r w:rsidR="008F66F2" w:rsidRPr="005A25D9">
        <w:rPr>
          <w:rStyle w:val="sb8d990e2"/>
        </w:rPr>
        <w:t xml:space="preserve">settled </w:t>
      </w:r>
      <w:r w:rsidR="003272D0" w:rsidRPr="005A25D9">
        <w:rPr>
          <w:rStyle w:val="sb8d990e2"/>
        </w:rPr>
        <w:t xml:space="preserve">case-law, where no domestic remedy is available the six-month period runs from the act alleged to constitute a violation of the Convention; however, where it concerns a </w:t>
      </w:r>
      <w:r w:rsidR="003272D0" w:rsidRPr="005A25D9">
        <w:rPr>
          <w:rStyle w:val="wordhighlightedcurrentterm"/>
        </w:rPr>
        <w:t>continuing situation</w:t>
      </w:r>
      <w:r w:rsidR="003272D0" w:rsidRPr="005A25D9">
        <w:rPr>
          <w:rStyle w:val="sb8d990e2"/>
        </w:rPr>
        <w:t xml:space="preserve">, it runs from the end of </w:t>
      </w:r>
      <w:r w:rsidR="008F66F2" w:rsidRPr="005A25D9">
        <w:rPr>
          <w:rStyle w:val="sb8d990e2"/>
        </w:rPr>
        <w:t xml:space="preserve">that </w:t>
      </w:r>
      <w:r w:rsidR="003272D0" w:rsidRPr="005A25D9">
        <w:rPr>
          <w:rStyle w:val="sb8d990e2"/>
        </w:rPr>
        <w:t>situation (see, for example,</w:t>
      </w:r>
      <w:r w:rsidR="006C6997" w:rsidRPr="005A25D9">
        <w:rPr>
          <w:rStyle w:val="sb8d990e2"/>
        </w:rPr>
        <w:t xml:space="preserve"> </w:t>
      </w:r>
      <w:r w:rsidR="006C6997" w:rsidRPr="005A25D9">
        <w:rPr>
          <w:i/>
          <w:szCs w:val="24"/>
          <w:lang w:eastAsia="en-US"/>
        </w:rPr>
        <w:t>Kucheruk v. Ukraine</w:t>
      </w:r>
      <w:r w:rsidR="006C6997" w:rsidRPr="005A25D9">
        <w:rPr>
          <w:szCs w:val="24"/>
          <w:lang w:eastAsia="en-US"/>
        </w:rPr>
        <w:t>, no. 2570/04, §</w:t>
      </w:r>
      <w:r w:rsidR="00522D09" w:rsidRPr="005A25D9">
        <w:rPr>
          <w:szCs w:val="24"/>
          <w:lang w:eastAsia="en-US"/>
        </w:rPr>
        <w:t xml:space="preserve"> </w:t>
      </w:r>
      <w:r w:rsidR="006C6997" w:rsidRPr="005A25D9">
        <w:rPr>
          <w:szCs w:val="24"/>
          <w:lang w:eastAsia="en-US"/>
        </w:rPr>
        <w:t xml:space="preserve">171, </w:t>
      </w:r>
      <w:r w:rsidR="006C6997" w:rsidRPr="005A25D9">
        <w:rPr>
          <w:lang w:eastAsia="en-US"/>
        </w:rPr>
        <w:t>6 September 2007</w:t>
      </w:r>
      <w:r w:rsidR="003272D0" w:rsidRPr="005A25D9">
        <w:rPr>
          <w:rStyle w:val="sb8d990e2"/>
        </w:rPr>
        <w:t>).</w:t>
      </w:r>
    </w:p>
    <w:p w:rsidR="003272D0" w:rsidRPr="005A25D9" w:rsidRDefault="006C6997" w:rsidP="00CD0CEB">
      <w:pPr>
        <w:pStyle w:val="JuPara"/>
      </w:pPr>
      <w:r w:rsidRPr="005A25D9">
        <w:fldChar w:fldCharType="begin"/>
      </w:r>
      <w:r w:rsidRPr="005A25D9">
        <w:instrText xml:space="preserve"> SEQ level0 \*arabic </w:instrText>
      </w:r>
      <w:r w:rsidRPr="005A25D9">
        <w:fldChar w:fldCharType="separate"/>
      </w:r>
      <w:r w:rsidR="00317F48">
        <w:rPr>
          <w:noProof/>
        </w:rPr>
        <w:t>25</w:t>
      </w:r>
      <w:r w:rsidRPr="005A25D9">
        <w:fldChar w:fldCharType="end"/>
      </w:r>
      <w:r w:rsidRPr="005A25D9">
        <w:t xml:space="preserve">.  The Government have admitted that the applicant had no direct access to </w:t>
      </w:r>
      <w:r w:rsidR="00127C06" w:rsidRPr="005A25D9">
        <w:t xml:space="preserve">a </w:t>
      </w:r>
      <w:r w:rsidRPr="005A25D9">
        <w:t xml:space="preserve">court as a result of </w:t>
      </w:r>
      <w:r w:rsidR="000802E2" w:rsidRPr="005A25D9">
        <w:t xml:space="preserve">the </w:t>
      </w:r>
      <w:r w:rsidRPr="005A25D9">
        <w:t xml:space="preserve">domestic </w:t>
      </w:r>
      <w:r w:rsidR="000802E2" w:rsidRPr="005A25D9">
        <w:t xml:space="preserve">procedural rules and </w:t>
      </w:r>
      <w:r w:rsidR="008F66F2" w:rsidRPr="005A25D9">
        <w:t xml:space="preserve">that </w:t>
      </w:r>
      <w:r w:rsidR="000802E2" w:rsidRPr="005A25D9">
        <w:t>there was no effective remedy in respect of her complaint.</w:t>
      </w:r>
      <w:r w:rsidRPr="005A25D9">
        <w:t xml:space="preserve"> </w:t>
      </w:r>
      <w:r w:rsidR="000802E2" w:rsidRPr="005A25D9">
        <w:t xml:space="preserve">The procedural rules in question remained in </w:t>
      </w:r>
      <w:r w:rsidR="008F66F2" w:rsidRPr="005A25D9">
        <w:t xml:space="preserve">force </w:t>
      </w:r>
      <w:r w:rsidR="000802E2" w:rsidRPr="005A25D9">
        <w:t xml:space="preserve">on the date </w:t>
      </w:r>
      <w:r w:rsidR="008F66F2" w:rsidRPr="005A25D9">
        <w:t>on which she lodged her</w:t>
      </w:r>
      <w:r w:rsidR="000802E2" w:rsidRPr="005A25D9">
        <w:t xml:space="preserve"> application </w:t>
      </w:r>
      <w:r w:rsidR="008F66F2" w:rsidRPr="005A25D9">
        <w:t xml:space="preserve">with </w:t>
      </w:r>
      <w:r w:rsidR="000802E2" w:rsidRPr="005A25D9">
        <w:t xml:space="preserve">the Court. </w:t>
      </w:r>
      <w:r w:rsidR="00347A98" w:rsidRPr="005A25D9">
        <w:t>It follows that</w:t>
      </w:r>
      <w:r w:rsidR="004F3685" w:rsidRPr="005A25D9">
        <w:t xml:space="preserve"> the </w:t>
      </w:r>
      <w:r w:rsidR="008F66F2" w:rsidRPr="005A25D9">
        <w:t>applicant</w:t>
      </w:r>
      <w:r w:rsidR="00125DE6">
        <w:t>’</w:t>
      </w:r>
      <w:r w:rsidR="008F66F2" w:rsidRPr="005A25D9">
        <w:t xml:space="preserve">s complaint </w:t>
      </w:r>
      <w:r w:rsidRPr="005A25D9">
        <w:t>concern</w:t>
      </w:r>
      <w:r w:rsidR="004F3685" w:rsidRPr="005A25D9">
        <w:t>ed</w:t>
      </w:r>
      <w:r w:rsidRPr="005A25D9">
        <w:t xml:space="preserve"> </w:t>
      </w:r>
      <w:r w:rsidR="004F3685" w:rsidRPr="005A25D9">
        <w:t xml:space="preserve">a </w:t>
      </w:r>
      <w:r w:rsidRPr="005A25D9">
        <w:t>continu</w:t>
      </w:r>
      <w:r w:rsidR="008F66F2" w:rsidRPr="005A25D9">
        <w:t>ing</w:t>
      </w:r>
      <w:r w:rsidRPr="005A25D9">
        <w:t xml:space="preserve"> situation </w:t>
      </w:r>
      <w:r w:rsidR="00347A98" w:rsidRPr="005A25D9">
        <w:t xml:space="preserve">which </w:t>
      </w:r>
      <w:r w:rsidR="008F66F2" w:rsidRPr="005A25D9">
        <w:t>did not come to an end as a result of her</w:t>
      </w:r>
      <w:r w:rsidR="004F3685" w:rsidRPr="005A25D9">
        <w:t xml:space="preserve"> unsuccessful attempt to </w:t>
      </w:r>
      <w:r w:rsidR="008F66F2" w:rsidRPr="005A25D9">
        <w:t xml:space="preserve">secure </w:t>
      </w:r>
      <w:r w:rsidR="000802E2" w:rsidRPr="005A25D9">
        <w:t xml:space="preserve">access </w:t>
      </w:r>
      <w:r w:rsidR="004F3685" w:rsidRPr="005A25D9">
        <w:t xml:space="preserve">to </w:t>
      </w:r>
      <w:r w:rsidR="000802E2" w:rsidRPr="005A25D9">
        <w:t xml:space="preserve">a </w:t>
      </w:r>
      <w:r w:rsidR="004F3685" w:rsidRPr="005A25D9">
        <w:t>court</w:t>
      </w:r>
      <w:r w:rsidR="00347A98" w:rsidRPr="005A25D9">
        <w:t xml:space="preserve">. </w:t>
      </w:r>
      <w:r w:rsidR="004F3685" w:rsidRPr="005A25D9">
        <w:t>The Government</w:t>
      </w:r>
      <w:r w:rsidR="00125DE6">
        <w:t>’</w:t>
      </w:r>
      <w:r w:rsidR="004F3685" w:rsidRPr="005A25D9">
        <w:t>s objection is therefore dismissed.</w:t>
      </w:r>
    </w:p>
    <w:p w:rsidR="00F71A6A" w:rsidRPr="005A25D9" w:rsidRDefault="003272D0" w:rsidP="002F4BCF">
      <w:pPr>
        <w:pStyle w:val="JuPara"/>
      </w:pPr>
      <w:r w:rsidRPr="005A25D9">
        <w:fldChar w:fldCharType="begin"/>
      </w:r>
      <w:r w:rsidRPr="005A25D9">
        <w:instrText xml:space="preserve"> SEQ level0 \*arabic </w:instrText>
      </w:r>
      <w:r w:rsidRPr="005A25D9">
        <w:fldChar w:fldCharType="separate"/>
      </w:r>
      <w:r w:rsidR="00317F48">
        <w:rPr>
          <w:noProof/>
        </w:rPr>
        <w:t>26</w:t>
      </w:r>
      <w:r w:rsidRPr="005A25D9">
        <w:fldChar w:fldCharType="end"/>
      </w:r>
      <w:r w:rsidRPr="005A25D9">
        <w:t>.  </w:t>
      </w:r>
      <w:r w:rsidR="00F71A6A" w:rsidRPr="005A25D9">
        <w:t xml:space="preserve">The Court notes that </w:t>
      </w:r>
      <w:r w:rsidR="00D44EA3" w:rsidRPr="005A25D9">
        <w:t xml:space="preserve">this complaint </w:t>
      </w:r>
      <w:r w:rsidR="00F71A6A" w:rsidRPr="005A25D9">
        <w:t xml:space="preserve">is not manifestly ill-founded within the meaning of Article </w:t>
      </w:r>
      <w:r w:rsidR="00C63E30" w:rsidRPr="005A25D9">
        <w:t>35 § 3 (a)</w:t>
      </w:r>
      <w:r w:rsidR="00F71A6A" w:rsidRPr="005A25D9">
        <w:t xml:space="preserve"> of the Convention. It further notes that it is not inadmissible on any other grounds. It must therefore be declared admissible.</w:t>
      </w:r>
    </w:p>
    <w:p w:rsidR="00F71A6A" w:rsidRPr="005A25D9" w:rsidRDefault="00F71A6A" w:rsidP="008824B9">
      <w:pPr>
        <w:pStyle w:val="JuHA"/>
        <w:outlineLvl w:val="0"/>
      </w:pPr>
      <w:r w:rsidRPr="005A25D9">
        <w:t>B.  Merits</w:t>
      </w:r>
    </w:p>
    <w:p w:rsidR="00DF53C0"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27</w:t>
      </w:r>
      <w:r w:rsidRPr="005A25D9">
        <w:fldChar w:fldCharType="end"/>
      </w:r>
      <w:r w:rsidR="00F71A6A" w:rsidRPr="005A25D9">
        <w:t xml:space="preserve">.  The </w:t>
      </w:r>
      <w:r w:rsidR="005F4753" w:rsidRPr="005A25D9">
        <w:t>applicant</w:t>
      </w:r>
      <w:r w:rsidR="00F71A6A" w:rsidRPr="005A25D9">
        <w:t xml:space="preserve"> </w:t>
      </w:r>
      <w:r w:rsidR="004F3685" w:rsidRPr="005A25D9">
        <w:t xml:space="preserve">asserted that </w:t>
      </w:r>
      <w:r w:rsidR="00E035B2" w:rsidRPr="005A25D9">
        <w:t xml:space="preserve">her right of access to a court had been </w:t>
      </w:r>
      <w:r w:rsidR="00977BAF" w:rsidRPr="005A25D9">
        <w:t>restricted</w:t>
      </w:r>
      <w:r w:rsidR="008F66F2" w:rsidRPr="005A25D9">
        <w:t>, in breach of</w:t>
      </w:r>
      <w:r w:rsidR="00977BAF" w:rsidRPr="005A25D9">
        <w:t xml:space="preserve"> Article 6</w:t>
      </w:r>
      <w:r w:rsidR="00522D09" w:rsidRPr="005A25D9">
        <w:t xml:space="preserve"> </w:t>
      </w:r>
      <w:r w:rsidR="00977BAF" w:rsidRPr="005A25D9">
        <w:t>§</w:t>
      </w:r>
      <w:r w:rsidR="00522D09" w:rsidRPr="005A25D9">
        <w:t xml:space="preserve"> </w:t>
      </w:r>
      <w:r w:rsidR="00977BAF" w:rsidRPr="005A25D9">
        <w:t>1 of the Convention.</w:t>
      </w:r>
    </w:p>
    <w:p w:rsidR="008E05A3"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28</w:t>
      </w:r>
      <w:r w:rsidRPr="005A25D9">
        <w:fldChar w:fldCharType="end"/>
      </w:r>
      <w:r w:rsidR="008E05A3" w:rsidRPr="005A25D9">
        <w:t xml:space="preserve">.  The Government </w:t>
      </w:r>
      <w:r w:rsidR="00FA5A38" w:rsidRPr="005A25D9">
        <w:t>maintained that the application was inadmissible</w:t>
      </w:r>
      <w:r w:rsidR="004F3685" w:rsidRPr="005A25D9">
        <w:t>.</w:t>
      </w:r>
    </w:p>
    <w:p w:rsidR="00DF53C0" w:rsidRPr="005A25D9" w:rsidRDefault="00A738D4" w:rsidP="00FE643D">
      <w:pPr>
        <w:pStyle w:val="JuPara"/>
        <w:rPr>
          <w:rStyle w:val="sb8d990e2"/>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29</w:t>
      </w:r>
      <w:r w:rsidRPr="005A25D9">
        <w:rPr>
          <w:lang w:eastAsia="en-US"/>
        </w:rPr>
        <w:fldChar w:fldCharType="end"/>
      </w:r>
      <w:r w:rsidRPr="005A25D9">
        <w:rPr>
          <w:lang w:eastAsia="en-US"/>
        </w:rPr>
        <w:t>.  </w:t>
      </w:r>
      <w:r w:rsidR="00B15051" w:rsidRPr="005A25D9">
        <w:rPr>
          <w:lang w:eastAsia="en-US"/>
        </w:rPr>
        <w:t>The Court notes that under the domestic legislation it was for the applicant</w:t>
      </w:r>
      <w:r w:rsidR="00125DE6">
        <w:rPr>
          <w:lang w:eastAsia="en-US"/>
        </w:rPr>
        <w:t>’</w:t>
      </w:r>
      <w:r w:rsidR="00B15051" w:rsidRPr="005A25D9">
        <w:rPr>
          <w:lang w:eastAsia="en-US"/>
        </w:rPr>
        <w:t xml:space="preserve">s guardian or the guardianship </w:t>
      </w:r>
      <w:r w:rsidR="009B63CD" w:rsidRPr="005A25D9">
        <w:rPr>
          <w:lang w:eastAsia="en-US"/>
        </w:rPr>
        <w:t>authority</w:t>
      </w:r>
      <w:r w:rsidR="00B15051" w:rsidRPr="005A25D9">
        <w:rPr>
          <w:lang w:eastAsia="en-US"/>
        </w:rPr>
        <w:t xml:space="preserve"> to raise the issue of restoration of </w:t>
      </w:r>
      <w:r w:rsidR="00646BAD" w:rsidRPr="005A25D9">
        <w:rPr>
          <w:lang w:eastAsia="en-US"/>
        </w:rPr>
        <w:t>her</w:t>
      </w:r>
      <w:r w:rsidR="00B15051" w:rsidRPr="005A25D9">
        <w:rPr>
          <w:lang w:eastAsia="en-US"/>
        </w:rPr>
        <w:t xml:space="preserve"> legal capacity before a court. However, the </w:t>
      </w:r>
      <w:r w:rsidR="00D42913" w:rsidRPr="005A25D9">
        <w:rPr>
          <w:lang w:eastAsia="en-US"/>
        </w:rPr>
        <w:t>guardian</w:t>
      </w:r>
      <w:r w:rsidR="00125DE6">
        <w:rPr>
          <w:lang w:eastAsia="en-US"/>
        </w:rPr>
        <w:t>’</w:t>
      </w:r>
      <w:r w:rsidR="00D42913" w:rsidRPr="005A25D9">
        <w:rPr>
          <w:lang w:eastAsia="en-US"/>
        </w:rPr>
        <w:t xml:space="preserve">s </w:t>
      </w:r>
      <w:r w:rsidR="00B15051" w:rsidRPr="005A25D9">
        <w:rPr>
          <w:lang w:eastAsia="en-US"/>
        </w:rPr>
        <w:t xml:space="preserve">application was </w:t>
      </w:r>
      <w:r w:rsidR="002955A1" w:rsidRPr="005A25D9">
        <w:rPr>
          <w:lang w:eastAsia="en-US"/>
        </w:rPr>
        <w:t xml:space="preserve">dismissed without being considered on the merits as the guardian did not appear before the court. The applicant had no procedural status </w:t>
      </w:r>
      <w:r w:rsidR="000A4940" w:rsidRPr="005A25D9">
        <w:rPr>
          <w:lang w:eastAsia="en-US"/>
        </w:rPr>
        <w:t>in those proceedings and could not influence them</w:t>
      </w:r>
      <w:r w:rsidR="002955A1" w:rsidRPr="005A25D9">
        <w:rPr>
          <w:lang w:eastAsia="en-US"/>
        </w:rPr>
        <w:t xml:space="preserve">. Subsequently, </w:t>
      </w:r>
      <w:r w:rsidR="00FA5A38" w:rsidRPr="005A25D9">
        <w:rPr>
          <w:lang w:eastAsia="en-US"/>
        </w:rPr>
        <w:t xml:space="preserve">the </w:t>
      </w:r>
      <w:r w:rsidR="009B4C72" w:rsidRPr="005A25D9">
        <w:rPr>
          <w:lang w:eastAsia="en-US"/>
        </w:rPr>
        <w:t>applicant</w:t>
      </w:r>
      <w:r w:rsidR="00125DE6">
        <w:rPr>
          <w:lang w:eastAsia="en-US"/>
        </w:rPr>
        <w:t>’</w:t>
      </w:r>
      <w:r w:rsidR="009B4C72" w:rsidRPr="005A25D9">
        <w:rPr>
          <w:lang w:eastAsia="en-US"/>
        </w:rPr>
        <w:t xml:space="preserve">s </w:t>
      </w:r>
      <w:r w:rsidR="002955A1" w:rsidRPr="005A25D9">
        <w:rPr>
          <w:lang w:eastAsia="en-US"/>
        </w:rPr>
        <w:t xml:space="preserve">personal </w:t>
      </w:r>
      <w:r w:rsidR="00FA5A38" w:rsidRPr="005A25D9">
        <w:rPr>
          <w:lang w:eastAsia="en-US"/>
        </w:rPr>
        <w:t xml:space="preserve">application for restoration of </w:t>
      </w:r>
      <w:r w:rsidR="002955A1" w:rsidRPr="005A25D9">
        <w:rPr>
          <w:lang w:eastAsia="en-US"/>
        </w:rPr>
        <w:t xml:space="preserve">her </w:t>
      </w:r>
      <w:r w:rsidR="00FA5A38" w:rsidRPr="005A25D9">
        <w:rPr>
          <w:lang w:eastAsia="en-US"/>
        </w:rPr>
        <w:t>legal capacity</w:t>
      </w:r>
      <w:r w:rsidR="00AE22B8" w:rsidRPr="005A25D9">
        <w:rPr>
          <w:lang w:eastAsia="en-US"/>
        </w:rPr>
        <w:t xml:space="preserve"> </w:t>
      </w:r>
      <w:r w:rsidR="00234AD9" w:rsidRPr="005A25D9">
        <w:rPr>
          <w:lang w:eastAsia="en-US"/>
        </w:rPr>
        <w:t>was not considered</w:t>
      </w:r>
      <w:r w:rsidR="00B536CC" w:rsidRPr="005A25D9">
        <w:rPr>
          <w:lang w:eastAsia="en-US"/>
        </w:rPr>
        <w:t xml:space="preserve"> </w:t>
      </w:r>
      <w:r w:rsidR="002955A1" w:rsidRPr="005A25D9">
        <w:rPr>
          <w:lang w:eastAsia="en-US"/>
        </w:rPr>
        <w:t>either</w:t>
      </w:r>
      <w:r w:rsidR="00E3405B" w:rsidRPr="005A25D9">
        <w:rPr>
          <w:lang w:eastAsia="en-US"/>
        </w:rPr>
        <w:t>,</w:t>
      </w:r>
      <w:r w:rsidR="002955A1" w:rsidRPr="005A25D9">
        <w:rPr>
          <w:lang w:eastAsia="en-US"/>
        </w:rPr>
        <w:t xml:space="preserve"> </w:t>
      </w:r>
      <w:r w:rsidR="008F66F2" w:rsidRPr="005A25D9">
        <w:rPr>
          <w:lang w:eastAsia="en-US"/>
        </w:rPr>
        <w:t>because</w:t>
      </w:r>
      <w:r w:rsidR="00FA5A38" w:rsidRPr="005A25D9">
        <w:rPr>
          <w:lang w:eastAsia="en-US"/>
        </w:rPr>
        <w:t xml:space="preserve"> the </w:t>
      </w:r>
      <w:r w:rsidRPr="005A25D9">
        <w:rPr>
          <w:lang w:eastAsia="en-US"/>
        </w:rPr>
        <w:t>Code of Civil Procedure</w:t>
      </w:r>
      <w:r w:rsidR="00FA5A38" w:rsidRPr="005A25D9">
        <w:rPr>
          <w:lang w:eastAsia="en-US"/>
        </w:rPr>
        <w:t xml:space="preserve"> did not </w:t>
      </w:r>
      <w:r w:rsidR="00F9077E" w:rsidRPr="005A25D9">
        <w:rPr>
          <w:lang w:eastAsia="en-US"/>
        </w:rPr>
        <w:t>afford her</w:t>
      </w:r>
      <w:r w:rsidR="00FA5A38" w:rsidRPr="005A25D9">
        <w:rPr>
          <w:lang w:eastAsia="en-US"/>
        </w:rPr>
        <w:t xml:space="preserve"> the right </w:t>
      </w:r>
      <w:r w:rsidR="00F9077E" w:rsidRPr="005A25D9">
        <w:rPr>
          <w:lang w:eastAsia="en-US"/>
        </w:rPr>
        <w:t xml:space="preserve">to </w:t>
      </w:r>
      <w:r w:rsidR="00B536CC" w:rsidRPr="005A25D9">
        <w:rPr>
          <w:lang w:eastAsia="en-US"/>
        </w:rPr>
        <w:t>lodg</w:t>
      </w:r>
      <w:r w:rsidR="00F9077E" w:rsidRPr="005A25D9">
        <w:rPr>
          <w:lang w:eastAsia="en-US"/>
        </w:rPr>
        <w:t>e such an</w:t>
      </w:r>
      <w:r w:rsidR="00B536CC" w:rsidRPr="005A25D9">
        <w:rPr>
          <w:lang w:eastAsia="en-US"/>
        </w:rPr>
        <w:t xml:space="preserve"> application</w:t>
      </w:r>
      <w:r w:rsidR="00FA5A38" w:rsidRPr="005A25D9">
        <w:rPr>
          <w:lang w:eastAsia="en-US"/>
        </w:rPr>
        <w:t xml:space="preserve">. </w:t>
      </w:r>
      <w:r w:rsidRPr="005A25D9">
        <w:rPr>
          <w:lang w:eastAsia="en-US"/>
        </w:rPr>
        <w:t>At the same time, th</w:t>
      </w:r>
      <w:r w:rsidR="00F9077E" w:rsidRPr="005A25D9">
        <w:rPr>
          <w:lang w:eastAsia="en-US"/>
        </w:rPr>
        <w:t>e</w:t>
      </w:r>
      <w:r w:rsidRPr="005A25D9">
        <w:rPr>
          <w:lang w:eastAsia="en-US"/>
        </w:rPr>
        <w:t xml:space="preserve"> Code did not</w:t>
      </w:r>
      <w:r w:rsidRPr="005A25D9">
        <w:rPr>
          <w:rStyle w:val="sb8d990e2"/>
        </w:rPr>
        <w:t xml:space="preserve"> </w:t>
      </w:r>
      <w:r w:rsidR="00F9077E" w:rsidRPr="005A25D9">
        <w:rPr>
          <w:rStyle w:val="sb8d990e2"/>
        </w:rPr>
        <w:t xml:space="preserve">indicate </w:t>
      </w:r>
      <w:r w:rsidRPr="005A25D9">
        <w:rPr>
          <w:rStyle w:val="sb8d990e2"/>
        </w:rPr>
        <w:t xml:space="preserve">that </w:t>
      </w:r>
      <w:r w:rsidR="00F9077E" w:rsidRPr="005A25D9">
        <w:rPr>
          <w:rStyle w:val="sb8d990e2"/>
        </w:rPr>
        <w:t xml:space="preserve">a </w:t>
      </w:r>
      <w:r w:rsidRPr="005A25D9">
        <w:rPr>
          <w:lang w:eastAsia="en-US"/>
        </w:rPr>
        <w:t xml:space="preserve">declaration of legal incapacity </w:t>
      </w:r>
      <w:r w:rsidRPr="005A25D9">
        <w:rPr>
          <w:rStyle w:val="sb8d990e2"/>
        </w:rPr>
        <w:t xml:space="preserve">was subject to any automatic </w:t>
      </w:r>
      <w:r w:rsidR="00AE22B8" w:rsidRPr="005A25D9">
        <w:rPr>
          <w:rStyle w:val="sb8d990e2"/>
        </w:rPr>
        <w:t xml:space="preserve">judicial </w:t>
      </w:r>
      <w:r w:rsidRPr="005A25D9">
        <w:rPr>
          <w:rStyle w:val="sb8d990e2"/>
        </w:rPr>
        <w:t>review</w:t>
      </w:r>
      <w:r w:rsidR="00E3405B" w:rsidRPr="005A25D9">
        <w:rPr>
          <w:rStyle w:val="sb8d990e2"/>
        </w:rPr>
        <w:t>, and</w:t>
      </w:r>
      <w:r w:rsidRPr="005A25D9">
        <w:rPr>
          <w:rStyle w:val="sb8d990e2"/>
        </w:rPr>
        <w:t xml:space="preserve"> the </w:t>
      </w:r>
      <w:r w:rsidR="009B4C72" w:rsidRPr="005A25D9">
        <w:rPr>
          <w:rStyle w:val="sb8d990e2"/>
        </w:rPr>
        <w:t xml:space="preserve">duration </w:t>
      </w:r>
      <w:r w:rsidR="00F9077E" w:rsidRPr="005A25D9">
        <w:rPr>
          <w:rStyle w:val="sb8d990e2"/>
        </w:rPr>
        <w:t xml:space="preserve">for which </w:t>
      </w:r>
      <w:r w:rsidR="009B4C72" w:rsidRPr="005A25D9">
        <w:rPr>
          <w:rStyle w:val="sb8d990e2"/>
        </w:rPr>
        <w:t xml:space="preserve">that </w:t>
      </w:r>
      <w:r w:rsidR="00234AD9" w:rsidRPr="005A25D9">
        <w:rPr>
          <w:rStyle w:val="sb8d990e2"/>
        </w:rPr>
        <w:t xml:space="preserve">measure </w:t>
      </w:r>
      <w:r w:rsidR="00F9077E" w:rsidRPr="005A25D9">
        <w:rPr>
          <w:rStyle w:val="sb8d990e2"/>
        </w:rPr>
        <w:t xml:space="preserve">was </w:t>
      </w:r>
      <w:r w:rsidR="00B536CC" w:rsidRPr="005A25D9">
        <w:rPr>
          <w:rStyle w:val="sb8d990e2"/>
        </w:rPr>
        <w:t xml:space="preserve">ordered </w:t>
      </w:r>
      <w:r w:rsidR="00E2705B" w:rsidRPr="005A25D9">
        <w:rPr>
          <w:rStyle w:val="sb8d990e2"/>
        </w:rPr>
        <w:t xml:space="preserve">in respect </w:t>
      </w:r>
      <w:r w:rsidR="00B536CC" w:rsidRPr="005A25D9">
        <w:rPr>
          <w:rStyle w:val="sb8d990e2"/>
        </w:rPr>
        <w:t xml:space="preserve">of the applicant </w:t>
      </w:r>
      <w:r w:rsidR="009B4C72" w:rsidRPr="005A25D9">
        <w:rPr>
          <w:rStyle w:val="sb8d990e2"/>
        </w:rPr>
        <w:t>was not limited in time</w:t>
      </w:r>
      <w:r w:rsidR="00234AD9" w:rsidRPr="005A25D9">
        <w:rPr>
          <w:rStyle w:val="sb8d990e2"/>
        </w:rPr>
        <w:t>.</w:t>
      </w:r>
    </w:p>
    <w:p w:rsidR="00646BAD" w:rsidRPr="005A25D9" w:rsidRDefault="00646BAD" w:rsidP="00646BAD">
      <w:pPr>
        <w:pStyle w:val="JuPara"/>
        <w:ind w:firstLine="360"/>
        <w:rPr>
          <w:szCs w:val="24"/>
          <w:lang w:eastAsia="en-US"/>
        </w:rPr>
      </w:pPr>
      <w:r w:rsidRPr="005A25D9">
        <w:fldChar w:fldCharType="begin"/>
      </w:r>
      <w:r w:rsidRPr="005A25D9">
        <w:instrText xml:space="preserve"> SEQ level0 \*arabic </w:instrText>
      </w:r>
      <w:r w:rsidRPr="005A25D9">
        <w:fldChar w:fldCharType="separate"/>
      </w:r>
      <w:r w:rsidR="00317F48">
        <w:rPr>
          <w:noProof/>
        </w:rPr>
        <w:t>30</w:t>
      </w:r>
      <w:r w:rsidRPr="005A25D9">
        <w:fldChar w:fldCharType="end"/>
      </w:r>
      <w:r w:rsidRPr="005A25D9">
        <w:t xml:space="preserve">.  The Court reiterates that </w:t>
      </w:r>
      <w:r w:rsidRPr="005A25D9">
        <w:rPr>
          <w:szCs w:val="24"/>
        </w:rPr>
        <w:t xml:space="preserve">Article 6 § 1 secures to everyone the right to have any claim relating to his or her civil rights and obligations brought before a court or tribunal (see </w:t>
      </w:r>
      <w:r w:rsidRPr="005A25D9">
        <w:rPr>
          <w:i/>
          <w:szCs w:val="24"/>
          <w:lang w:eastAsia="en-US"/>
        </w:rPr>
        <w:t>Golder v. the United Kingdom</w:t>
      </w:r>
      <w:r w:rsidRPr="005A25D9">
        <w:rPr>
          <w:szCs w:val="24"/>
          <w:lang w:eastAsia="en-US"/>
        </w:rPr>
        <w:t>, 21 February</w:t>
      </w:r>
      <w:r w:rsidR="000D5D96" w:rsidRPr="005A25D9">
        <w:rPr>
          <w:szCs w:val="24"/>
          <w:lang w:eastAsia="en-US"/>
        </w:rPr>
        <w:t> </w:t>
      </w:r>
      <w:r w:rsidRPr="005A25D9">
        <w:rPr>
          <w:szCs w:val="24"/>
          <w:lang w:eastAsia="en-US"/>
        </w:rPr>
        <w:t>1975, §</w:t>
      </w:r>
      <w:r w:rsidR="000D5D96" w:rsidRPr="005A25D9">
        <w:rPr>
          <w:szCs w:val="24"/>
          <w:lang w:eastAsia="en-US"/>
        </w:rPr>
        <w:t xml:space="preserve"> </w:t>
      </w:r>
      <w:r w:rsidRPr="005A25D9">
        <w:rPr>
          <w:szCs w:val="24"/>
          <w:lang w:eastAsia="en-US"/>
        </w:rPr>
        <w:t>36, Series A no. 18</w:t>
      </w:r>
      <w:r w:rsidRPr="005A25D9">
        <w:rPr>
          <w:szCs w:val="24"/>
        </w:rPr>
        <w:t xml:space="preserve">). This “right to a court”, of which the right of access is an aspect, may be relied on by anyone who considers on arguable grounds that an interference with the exercise of his or her civil rights is unlawful and complains that no possibility was afforded to submit that claim to a court meeting the requirements of Article 6 § 1 (see, </w:t>
      </w:r>
      <w:r w:rsidRPr="005A25D9">
        <w:rPr>
          <w:i/>
          <w:szCs w:val="24"/>
        </w:rPr>
        <w:t>inter alia</w:t>
      </w:r>
      <w:r w:rsidRPr="005A25D9">
        <w:rPr>
          <w:szCs w:val="24"/>
        </w:rPr>
        <w:t xml:space="preserve">, </w:t>
      </w:r>
      <w:r w:rsidRPr="005A25D9">
        <w:rPr>
          <w:i/>
          <w:szCs w:val="24"/>
          <w:lang w:eastAsia="en-US"/>
        </w:rPr>
        <w:t xml:space="preserve">Roche v. the United Kingdom </w:t>
      </w:r>
      <w:r w:rsidRPr="005A25D9">
        <w:rPr>
          <w:szCs w:val="24"/>
          <w:lang w:eastAsia="en-US"/>
        </w:rPr>
        <w:t>[GC], no. 32555/96, § 117, ECHR</w:t>
      </w:r>
      <w:r w:rsidR="000D5D96" w:rsidRPr="005A25D9">
        <w:rPr>
          <w:szCs w:val="24"/>
          <w:lang w:eastAsia="en-US"/>
        </w:rPr>
        <w:t> </w:t>
      </w:r>
      <w:r w:rsidRPr="005A25D9">
        <w:rPr>
          <w:szCs w:val="24"/>
          <w:lang w:eastAsia="en-US"/>
        </w:rPr>
        <w:t>2005</w:t>
      </w:r>
      <w:r w:rsidRPr="005A25D9">
        <w:rPr>
          <w:szCs w:val="24"/>
          <w:lang w:eastAsia="en-US"/>
        </w:rPr>
        <w:noBreakHyphen/>
        <w:t xml:space="preserve">X, and </w:t>
      </w:r>
      <w:r w:rsidRPr="005A25D9">
        <w:rPr>
          <w:i/>
          <w:szCs w:val="24"/>
          <w:lang w:eastAsia="en-US"/>
        </w:rPr>
        <w:t>Salontaji-Drobnjak v. Serbia</w:t>
      </w:r>
      <w:r w:rsidRPr="005A25D9">
        <w:rPr>
          <w:szCs w:val="24"/>
          <w:lang w:eastAsia="en-US"/>
        </w:rPr>
        <w:t>, no. 36500/05</w:t>
      </w:r>
      <w:r w:rsidRPr="005A25D9">
        <w:rPr>
          <w:snapToGrid w:val="0"/>
          <w:szCs w:val="24"/>
          <w:lang w:eastAsia="en-US"/>
        </w:rPr>
        <w:t>, § 132, 13</w:t>
      </w:r>
      <w:r w:rsidR="000D5D96" w:rsidRPr="005A25D9">
        <w:rPr>
          <w:snapToGrid w:val="0"/>
          <w:szCs w:val="24"/>
          <w:lang w:eastAsia="en-US"/>
        </w:rPr>
        <w:t> </w:t>
      </w:r>
      <w:r w:rsidRPr="005A25D9">
        <w:rPr>
          <w:szCs w:val="24"/>
          <w:lang w:eastAsia="en-US"/>
        </w:rPr>
        <w:t>October</w:t>
      </w:r>
      <w:r w:rsidRPr="005A25D9">
        <w:rPr>
          <w:snapToGrid w:val="0"/>
          <w:szCs w:val="24"/>
          <w:lang w:eastAsia="en-US"/>
        </w:rPr>
        <w:t xml:space="preserve"> 2009</w:t>
      </w:r>
      <w:r w:rsidRPr="005A25D9">
        <w:rPr>
          <w:szCs w:val="24"/>
          <w:lang w:eastAsia="en-US"/>
        </w:rPr>
        <w:t>).</w:t>
      </w:r>
    </w:p>
    <w:p w:rsidR="00646BAD" w:rsidRPr="005A25D9" w:rsidRDefault="00646BAD" w:rsidP="00B03A50">
      <w:pPr>
        <w:pStyle w:val="JuPara"/>
        <w:rPr>
          <w:lang w:eastAsia="en-US"/>
        </w:rPr>
      </w:pPr>
      <w:r w:rsidRPr="005A25D9">
        <w:rPr>
          <w:szCs w:val="24"/>
        </w:rPr>
        <w:fldChar w:fldCharType="begin"/>
      </w:r>
      <w:r w:rsidRPr="005A25D9">
        <w:rPr>
          <w:szCs w:val="24"/>
        </w:rPr>
        <w:instrText xml:space="preserve"> SEQ level0 \*arabic </w:instrText>
      </w:r>
      <w:r w:rsidRPr="005A25D9">
        <w:rPr>
          <w:szCs w:val="24"/>
        </w:rPr>
        <w:fldChar w:fldCharType="separate"/>
      </w:r>
      <w:r w:rsidR="00317F48">
        <w:rPr>
          <w:noProof/>
          <w:szCs w:val="24"/>
        </w:rPr>
        <w:t>31</w:t>
      </w:r>
      <w:r w:rsidRPr="005A25D9">
        <w:rPr>
          <w:szCs w:val="24"/>
        </w:rPr>
        <w:fldChar w:fldCharType="end"/>
      </w:r>
      <w:r w:rsidRPr="005A25D9">
        <w:rPr>
          <w:szCs w:val="24"/>
        </w:rPr>
        <w:t xml:space="preserve">.  The right of access to the courts is not absolute but may be subject to limitations; these are permitted by implication since the right of access “by its very nature calls for regulation by the State, regulation which may vary in time and in place according to the needs and resources of the community and of individuals” (see </w:t>
      </w:r>
      <w:r w:rsidR="00B03A50" w:rsidRPr="005A25D9">
        <w:rPr>
          <w:i/>
          <w:lang w:eastAsia="en-US"/>
        </w:rPr>
        <w:t>Ashingdane v. the United Kingdom</w:t>
      </w:r>
      <w:r w:rsidR="00B03A50" w:rsidRPr="005A25D9">
        <w:rPr>
          <w:lang w:eastAsia="en-US"/>
        </w:rPr>
        <w:t>, 28 May 1985, § 57, Series A no. 93</w:t>
      </w:r>
      <w:r w:rsidRPr="005A25D9">
        <w:rPr>
          <w:szCs w:val="24"/>
          <w:lang w:eastAsia="en-US"/>
        </w:rPr>
        <w:t>)</w:t>
      </w:r>
      <w:r w:rsidRPr="005A25D9">
        <w:rPr>
          <w:szCs w:val="24"/>
        </w:rPr>
        <w:t>. In laying down such regulation, the Contracting States enjoy a certain margin of appreciation. Whilst the final decision as to observance of the Convention</w:t>
      </w:r>
      <w:r w:rsidR="00125DE6">
        <w:rPr>
          <w:szCs w:val="24"/>
        </w:rPr>
        <w:t>’</w:t>
      </w:r>
      <w:r w:rsidRPr="005A25D9">
        <w:rPr>
          <w:szCs w:val="24"/>
        </w:rPr>
        <w:t>s requirements rests with the Court, it is no part of the Court</w:t>
      </w:r>
      <w:r w:rsidR="00125DE6">
        <w:rPr>
          <w:szCs w:val="24"/>
        </w:rPr>
        <w:t>’</w:t>
      </w:r>
      <w:r w:rsidRPr="005A25D9">
        <w:rPr>
          <w:szCs w:val="24"/>
        </w:rPr>
        <w:t xml:space="preserve">s function to substitute for the assessment of the national authorities any other assessment of what might be the best policy in this field. Nonetheless, the limitations applied must not restrict the access left to the individual in such a way or to such an extent that the very essence of the right is impaired. Furthermore, a limitation will not be compatible with Article 6 § 1 if it does not pursue a legitimate aim and if there is not a reasonable relationship of proportionality between the means employed and the aim sought to be achieved (ibid.; see also, among many other authorities, </w:t>
      </w:r>
      <w:r w:rsidRPr="005A25D9">
        <w:rPr>
          <w:i/>
          <w:szCs w:val="24"/>
          <w:lang w:eastAsia="en-US"/>
        </w:rPr>
        <w:t>Cordova v. Italy (no. 1)</w:t>
      </w:r>
      <w:r w:rsidRPr="005A25D9">
        <w:rPr>
          <w:szCs w:val="24"/>
          <w:lang w:eastAsia="en-US"/>
        </w:rPr>
        <w:t>, no.</w:t>
      </w:r>
      <w:r w:rsidR="000D5D96" w:rsidRPr="005A25D9">
        <w:rPr>
          <w:szCs w:val="24"/>
          <w:lang w:eastAsia="en-US"/>
        </w:rPr>
        <w:t xml:space="preserve"> </w:t>
      </w:r>
      <w:r w:rsidRPr="005A25D9">
        <w:t xml:space="preserve">40877/98, § 54, ECHR 2003-I, and the recapitulation of the relevant principles in </w:t>
      </w:r>
      <w:r w:rsidRPr="005A25D9">
        <w:rPr>
          <w:i/>
        </w:rPr>
        <w:t>Fayed v. the United Kingdom</w:t>
      </w:r>
      <w:r w:rsidRPr="005A25D9">
        <w:t>, 21 September 1994, §</w:t>
      </w:r>
      <w:r w:rsidR="000D5D96" w:rsidRPr="005A25D9">
        <w:t xml:space="preserve"> </w:t>
      </w:r>
      <w:r w:rsidRPr="005A25D9">
        <w:t>65, Series</w:t>
      </w:r>
      <w:r w:rsidR="000D5D96" w:rsidRPr="005A25D9">
        <w:t xml:space="preserve"> </w:t>
      </w:r>
      <w:r w:rsidRPr="005A25D9">
        <w:t>A no. 294-B</w:t>
      </w:r>
      <w:r w:rsidRPr="005A25D9">
        <w:rPr>
          <w:szCs w:val="24"/>
          <w:lang w:eastAsia="en-US"/>
        </w:rPr>
        <w:t>).</w:t>
      </w:r>
    </w:p>
    <w:p w:rsidR="00646BAD" w:rsidRPr="005A25D9" w:rsidRDefault="00646BAD" w:rsidP="00646BAD">
      <w:pPr>
        <w:pStyle w:val="JuPara"/>
        <w:rPr>
          <w:lang w:eastAsia="en-US"/>
        </w:rPr>
      </w:pPr>
      <w:r w:rsidRPr="005A25D9">
        <w:fldChar w:fldCharType="begin"/>
      </w:r>
      <w:r w:rsidRPr="005A25D9">
        <w:instrText xml:space="preserve"> SEQ level0 \*arabic </w:instrText>
      </w:r>
      <w:r w:rsidRPr="005A25D9">
        <w:fldChar w:fldCharType="separate"/>
      </w:r>
      <w:r w:rsidR="00317F48">
        <w:rPr>
          <w:noProof/>
        </w:rPr>
        <w:t>32</w:t>
      </w:r>
      <w:r w:rsidRPr="005A25D9">
        <w:fldChar w:fldCharType="end"/>
      </w:r>
      <w:r w:rsidRPr="005A25D9">
        <w:t>.  Furthermore, the Convention is intended to guarantee not rights that are theoretical or illusory but rights that are practical and effective. T</w:t>
      </w:r>
      <w:r w:rsidRPr="005A25D9">
        <w:rPr>
          <w:lang w:eastAsia="en-US"/>
        </w:rPr>
        <w:t xml:space="preserve">his is particularly true for the guarantees enshrined in Article 6, in view of the prominent place held in a democratic society by the right to a fair trial with all the guarantees under that Article (see </w:t>
      </w:r>
      <w:r w:rsidRPr="005A25D9">
        <w:rPr>
          <w:i/>
          <w:lang w:eastAsia="en-US"/>
        </w:rPr>
        <w:t>Prince Hans-Adam II of Liechtenstein v.</w:t>
      </w:r>
      <w:r w:rsidR="000D5D96" w:rsidRPr="005A25D9">
        <w:rPr>
          <w:i/>
          <w:lang w:eastAsia="en-US"/>
        </w:rPr>
        <w:t xml:space="preserve"> </w:t>
      </w:r>
      <w:r w:rsidRPr="005A25D9">
        <w:rPr>
          <w:i/>
          <w:lang w:eastAsia="en-US"/>
        </w:rPr>
        <w:t>Germany</w:t>
      </w:r>
      <w:r w:rsidRPr="005A25D9">
        <w:rPr>
          <w:lang w:eastAsia="en-US"/>
        </w:rPr>
        <w:t xml:space="preserve"> [GC], no. 42527/98, § 45, ECHR 2001-VIII).</w:t>
      </w:r>
    </w:p>
    <w:p w:rsidR="00B03A50" w:rsidRPr="005A25D9" w:rsidRDefault="00B03A50" w:rsidP="00B03A50">
      <w:pPr>
        <w:pStyle w:val="JuPara"/>
        <w:rPr>
          <w:lang w:eastAsia="en-US"/>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33</w:t>
      </w:r>
      <w:r w:rsidRPr="005A25D9">
        <w:rPr>
          <w:lang w:eastAsia="en-US"/>
        </w:rPr>
        <w:fldChar w:fldCharType="end"/>
      </w:r>
      <w:r w:rsidRPr="005A25D9">
        <w:rPr>
          <w:lang w:eastAsia="en-US"/>
        </w:rPr>
        <w:t>.  The Court observes at the outset that none of the parties disputed the applicability of Article 6 in the present case</w:t>
      </w:r>
      <w:r w:rsidR="00432006" w:rsidRPr="005A25D9">
        <w:rPr>
          <w:lang w:eastAsia="en-US"/>
        </w:rPr>
        <w:t xml:space="preserve">. The applicant, who has been deprived of legal capacity, complained that she did not have access to a court </w:t>
      </w:r>
      <w:r w:rsidR="00B5273E" w:rsidRPr="005A25D9">
        <w:rPr>
          <w:lang w:eastAsia="en-US"/>
        </w:rPr>
        <w:t>with regard to the</w:t>
      </w:r>
      <w:r w:rsidR="00432006" w:rsidRPr="005A25D9">
        <w:rPr>
          <w:lang w:eastAsia="en-US"/>
        </w:rPr>
        <w:t xml:space="preserve"> restoration of her legal capacity</w:t>
      </w:r>
      <w:r w:rsidR="00B5273E" w:rsidRPr="005A25D9">
        <w:rPr>
          <w:lang w:eastAsia="en-US"/>
        </w:rPr>
        <w:t>,</w:t>
      </w:r>
      <w:r w:rsidR="00432006" w:rsidRPr="005A25D9">
        <w:rPr>
          <w:lang w:eastAsia="en-US"/>
        </w:rPr>
        <w:t xml:space="preserve"> </w:t>
      </w:r>
      <w:r w:rsidR="00E76E6A" w:rsidRPr="005A25D9">
        <w:rPr>
          <w:lang w:eastAsia="en-US"/>
        </w:rPr>
        <w:t>a</w:t>
      </w:r>
      <w:r w:rsidR="00432006" w:rsidRPr="005A25D9">
        <w:rPr>
          <w:lang w:eastAsia="en-US"/>
        </w:rPr>
        <w:t xml:space="preserve"> matter </w:t>
      </w:r>
      <w:r w:rsidR="00E76E6A" w:rsidRPr="005A25D9">
        <w:rPr>
          <w:lang w:eastAsia="en-US"/>
        </w:rPr>
        <w:t xml:space="preserve">which </w:t>
      </w:r>
      <w:r w:rsidR="00432006" w:rsidRPr="005A25D9">
        <w:rPr>
          <w:lang w:eastAsia="en-US"/>
        </w:rPr>
        <w:t xml:space="preserve">was directly decisive for the determination of </w:t>
      </w:r>
      <w:r w:rsidR="008F63BE" w:rsidRPr="005A25D9">
        <w:rPr>
          <w:lang w:eastAsia="en-US"/>
        </w:rPr>
        <w:t xml:space="preserve">her </w:t>
      </w:r>
      <w:r w:rsidR="00432006" w:rsidRPr="005A25D9">
        <w:rPr>
          <w:lang w:eastAsia="en-US"/>
        </w:rPr>
        <w:t xml:space="preserve">“civil rights and obligations” (see </w:t>
      </w:r>
      <w:r w:rsidR="00432006" w:rsidRPr="005A25D9">
        <w:rPr>
          <w:i/>
          <w:lang w:eastAsia="en-US"/>
        </w:rPr>
        <w:t>Stanev v.</w:t>
      </w:r>
      <w:r w:rsidR="000D5D96" w:rsidRPr="005A25D9">
        <w:rPr>
          <w:i/>
          <w:lang w:eastAsia="en-US"/>
        </w:rPr>
        <w:t xml:space="preserve"> </w:t>
      </w:r>
      <w:r w:rsidR="00432006" w:rsidRPr="005A25D9">
        <w:rPr>
          <w:i/>
          <w:lang w:eastAsia="en-US"/>
        </w:rPr>
        <w:t xml:space="preserve">Bulgaria </w:t>
      </w:r>
      <w:r w:rsidR="00432006" w:rsidRPr="005A25D9">
        <w:rPr>
          <w:lang w:eastAsia="en-US"/>
        </w:rPr>
        <w:t>[GC], no. 36760/06</w:t>
      </w:r>
      <w:r w:rsidR="00432006" w:rsidRPr="005A25D9">
        <w:rPr>
          <w:snapToGrid w:val="0"/>
          <w:szCs w:val="24"/>
          <w:lang w:eastAsia="en-US"/>
        </w:rPr>
        <w:t xml:space="preserve">, § 233, </w:t>
      </w:r>
      <w:r w:rsidR="00432006" w:rsidRPr="005A25D9">
        <w:rPr>
          <w:snapToGrid w:val="0"/>
          <w:szCs w:val="22"/>
          <w:lang w:eastAsia="en-US"/>
        </w:rPr>
        <w:t>ECHR 2012</w:t>
      </w:r>
      <w:r w:rsidR="00432006" w:rsidRPr="005A25D9">
        <w:rPr>
          <w:szCs w:val="24"/>
          <w:lang w:eastAsia="en-US"/>
        </w:rPr>
        <w:t>). Article 6 §</w:t>
      </w:r>
      <w:r w:rsidR="000D5D96" w:rsidRPr="005A25D9">
        <w:rPr>
          <w:szCs w:val="24"/>
          <w:lang w:eastAsia="en-US"/>
        </w:rPr>
        <w:t> </w:t>
      </w:r>
      <w:r w:rsidR="00432006" w:rsidRPr="005A25D9">
        <w:rPr>
          <w:szCs w:val="24"/>
          <w:lang w:eastAsia="en-US"/>
        </w:rPr>
        <w:t>1 of the Convention is therefore applicable in the instant case.</w:t>
      </w:r>
    </w:p>
    <w:p w:rsidR="002955A1" w:rsidRPr="005A25D9" w:rsidRDefault="00B03A50" w:rsidP="00B03A50">
      <w:pPr>
        <w:pStyle w:val="JuPara"/>
        <w:rPr>
          <w:lang w:eastAsia="en-US"/>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34</w:t>
      </w:r>
      <w:r w:rsidRPr="005A25D9">
        <w:rPr>
          <w:lang w:eastAsia="en-US"/>
        </w:rPr>
        <w:fldChar w:fldCharType="end"/>
      </w:r>
      <w:r w:rsidRPr="005A25D9">
        <w:rPr>
          <w:lang w:eastAsia="en-US"/>
        </w:rPr>
        <w:t xml:space="preserve">.  It </w:t>
      </w:r>
      <w:r w:rsidR="0093303A" w:rsidRPr="005A25D9">
        <w:rPr>
          <w:lang w:eastAsia="en-US"/>
        </w:rPr>
        <w:t>also appears to be common ground that</w:t>
      </w:r>
      <w:r w:rsidR="006C2F9F" w:rsidRPr="005A25D9">
        <w:rPr>
          <w:lang w:eastAsia="en-US"/>
        </w:rPr>
        <w:t>,</w:t>
      </w:r>
      <w:r w:rsidR="0093303A" w:rsidRPr="005A25D9">
        <w:rPr>
          <w:lang w:eastAsia="en-US"/>
        </w:rPr>
        <w:t xml:space="preserve"> by virtue of clear and foreseeable rules of domestic law</w:t>
      </w:r>
      <w:r w:rsidR="006C2F9F" w:rsidRPr="005A25D9">
        <w:rPr>
          <w:lang w:eastAsia="en-US"/>
        </w:rPr>
        <w:t>,</w:t>
      </w:r>
      <w:r w:rsidR="0093303A" w:rsidRPr="005A25D9">
        <w:rPr>
          <w:lang w:eastAsia="en-US"/>
        </w:rPr>
        <w:t xml:space="preserve"> the applicant could not personally </w:t>
      </w:r>
      <w:r w:rsidR="00E3405B" w:rsidRPr="005A25D9">
        <w:rPr>
          <w:lang w:eastAsia="en-US"/>
        </w:rPr>
        <w:t>apply to</w:t>
      </w:r>
      <w:r w:rsidR="0093303A" w:rsidRPr="005A25D9">
        <w:rPr>
          <w:lang w:eastAsia="en-US"/>
        </w:rPr>
        <w:t xml:space="preserve"> a court for restoration of her legal capacity. It </w:t>
      </w:r>
      <w:r w:rsidRPr="005A25D9">
        <w:rPr>
          <w:lang w:eastAsia="en-US"/>
        </w:rPr>
        <w:t xml:space="preserve">remains to be determined whether the restriction </w:t>
      </w:r>
      <w:r w:rsidR="0093303A" w:rsidRPr="005A25D9">
        <w:rPr>
          <w:lang w:eastAsia="en-US"/>
        </w:rPr>
        <w:t>on the applicant</w:t>
      </w:r>
      <w:r w:rsidR="00125DE6">
        <w:rPr>
          <w:lang w:eastAsia="en-US"/>
        </w:rPr>
        <w:t>’</w:t>
      </w:r>
      <w:r w:rsidR="0093303A" w:rsidRPr="005A25D9">
        <w:rPr>
          <w:lang w:eastAsia="en-US"/>
        </w:rPr>
        <w:t xml:space="preserve">s right of access to court </w:t>
      </w:r>
      <w:r w:rsidRPr="005A25D9">
        <w:rPr>
          <w:lang w:eastAsia="en-US"/>
        </w:rPr>
        <w:t>pursued a legitimate aim and was proportionate to it.</w:t>
      </w:r>
    </w:p>
    <w:p w:rsidR="00DF53C0" w:rsidRPr="005A25D9" w:rsidRDefault="00432006" w:rsidP="002F4BCF">
      <w:pPr>
        <w:pStyle w:val="JuPara"/>
        <w:rPr>
          <w:lang w:eastAsia="en-US"/>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35</w:t>
      </w:r>
      <w:r w:rsidRPr="005A25D9">
        <w:rPr>
          <w:lang w:eastAsia="en-US"/>
        </w:rPr>
        <w:fldChar w:fldCharType="end"/>
      </w:r>
      <w:r w:rsidRPr="005A25D9">
        <w:rPr>
          <w:lang w:eastAsia="en-US"/>
        </w:rPr>
        <w:t xml:space="preserve">.  As noted above, </w:t>
      </w:r>
      <w:r w:rsidR="007F5D71" w:rsidRPr="005A25D9">
        <w:t xml:space="preserve">the right of access to the courts is not absolute and requires by its very nature that the State should enjoy a certain margin of appreciation in regulating the sphere under examination (see </w:t>
      </w:r>
      <w:r w:rsidR="007F5D71" w:rsidRPr="005A25D9">
        <w:rPr>
          <w:i/>
          <w:szCs w:val="24"/>
          <w:lang w:eastAsia="en-US"/>
        </w:rPr>
        <w:t>Ashingdane</w:t>
      </w:r>
      <w:r w:rsidR="007F5D71" w:rsidRPr="005A25D9">
        <w:rPr>
          <w:szCs w:val="24"/>
          <w:lang w:eastAsia="en-US"/>
        </w:rPr>
        <w:t>, cited above,</w:t>
      </w:r>
      <w:r w:rsidR="007F5D71" w:rsidRPr="005A25D9">
        <w:rPr>
          <w:i/>
          <w:szCs w:val="24"/>
          <w:lang w:eastAsia="en-US"/>
        </w:rPr>
        <w:t xml:space="preserve"> </w:t>
      </w:r>
      <w:r w:rsidR="007F5D71" w:rsidRPr="005A25D9">
        <w:rPr>
          <w:szCs w:val="24"/>
          <w:lang w:eastAsia="en-US"/>
        </w:rPr>
        <w:t>§ 57)</w:t>
      </w:r>
      <w:r w:rsidR="007F5D71" w:rsidRPr="005A25D9">
        <w:t xml:space="preserve">. The Court acknowledges that restrictions on </w:t>
      </w:r>
      <w:r w:rsidR="00E3405B" w:rsidRPr="005A25D9">
        <w:t xml:space="preserve">the </w:t>
      </w:r>
      <w:r w:rsidR="007F5D71" w:rsidRPr="005A25D9">
        <w:t>procedural rights</w:t>
      </w:r>
      <w:r w:rsidR="00D42913" w:rsidRPr="005A25D9">
        <w:t xml:space="preserve"> of a person who </w:t>
      </w:r>
      <w:r w:rsidR="007F5D71" w:rsidRPr="005A25D9">
        <w:t>has been deprived of legal capacity may be justified for th</w:t>
      </w:r>
      <w:r w:rsidR="00D42913" w:rsidRPr="005A25D9">
        <w:t>at</w:t>
      </w:r>
      <w:r w:rsidR="007F5D71" w:rsidRPr="005A25D9">
        <w:t xml:space="preserve"> person</w:t>
      </w:r>
      <w:r w:rsidR="00125DE6">
        <w:t>’</w:t>
      </w:r>
      <w:r w:rsidR="007F5D71" w:rsidRPr="005A25D9">
        <w:t>s own protection, the protection of the interests of others and the proper administration of justice.</w:t>
      </w:r>
    </w:p>
    <w:p w:rsidR="00B95CFD" w:rsidRPr="005A25D9" w:rsidRDefault="002701D1" w:rsidP="002F4BCF">
      <w:pPr>
        <w:pStyle w:val="JuPara"/>
        <w:rPr>
          <w:lang w:eastAsia="en-US"/>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36</w:t>
      </w:r>
      <w:r w:rsidRPr="005A25D9">
        <w:rPr>
          <w:lang w:eastAsia="en-US"/>
        </w:rPr>
        <w:fldChar w:fldCharType="end"/>
      </w:r>
      <w:r w:rsidRPr="005A25D9">
        <w:rPr>
          <w:lang w:eastAsia="en-US"/>
        </w:rPr>
        <w:t>.  The Court further notes that it is for the State to decide</w:t>
      </w:r>
      <w:r w:rsidR="00E3405B" w:rsidRPr="005A25D9">
        <w:rPr>
          <w:lang w:eastAsia="en-US"/>
        </w:rPr>
        <w:t xml:space="preserve"> how</w:t>
      </w:r>
      <w:r w:rsidRPr="005A25D9">
        <w:rPr>
          <w:lang w:eastAsia="en-US"/>
        </w:rPr>
        <w:t xml:space="preserve"> the procedural rights of </w:t>
      </w:r>
      <w:r w:rsidR="007E5302" w:rsidRPr="005A25D9">
        <w:rPr>
          <w:lang w:eastAsia="en-US"/>
        </w:rPr>
        <w:t>a</w:t>
      </w:r>
      <w:r w:rsidRPr="005A25D9">
        <w:rPr>
          <w:lang w:eastAsia="en-US"/>
        </w:rPr>
        <w:t xml:space="preserve"> person who ha</w:t>
      </w:r>
      <w:r w:rsidR="007E5302" w:rsidRPr="005A25D9">
        <w:rPr>
          <w:lang w:eastAsia="en-US"/>
        </w:rPr>
        <w:t>s</w:t>
      </w:r>
      <w:r w:rsidRPr="005A25D9">
        <w:rPr>
          <w:lang w:eastAsia="en-US"/>
        </w:rPr>
        <w:t xml:space="preserve"> been deprived of legal capacity should be ensured at domestic level. In this context</w:t>
      </w:r>
      <w:r w:rsidR="00E3405B" w:rsidRPr="005A25D9">
        <w:rPr>
          <w:lang w:eastAsia="en-US"/>
        </w:rPr>
        <w:t>,</w:t>
      </w:r>
      <w:r w:rsidRPr="005A25D9">
        <w:rPr>
          <w:lang w:eastAsia="en-US"/>
        </w:rPr>
        <w:t xml:space="preserve"> States should be able to take restrictive measures in order to </w:t>
      </w:r>
      <w:r w:rsidR="00E3405B" w:rsidRPr="005A25D9">
        <w:rPr>
          <w:lang w:eastAsia="en-US"/>
        </w:rPr>
        <w:t xml:space="preserve">achieve </w:t>
      </w:r>
      <w:r w:rsidRPr="005A25D9">
        <w:rPr>
          <w:lang w:eastAsia="en-US"/>
        </w:rPr>
        <w:t>the aims identified in the preceding paragraph.</w:t>
      </w:r>
    </w:p>
    <w:p w:rsidR="00B95CFD" w:rsidRPr="005A25D9" w:rsidRDefault="00E6053B" w:rsidP="002F4BCF">
      <w:pPr>
        <w:pStyle w:val="JuPara"/>
        <w:rPr>
          <w:rStyle w:val="sb8d990e2"/>
        </w:rPr>
      </w:pPr>
      <w:r w:rsidRPr="005A25D9">
        <w:rPr>
          <w:lang w:eastAsia="en-US"/>
        </w:rPr>
        <w:fldChar w:fldCharType="begin"/>
      </w:r>
      <w:r w:rsidRPr="005A25D9">
        <w:rPr>
          <w:lang w:eastAsia="en-US"/>
        </w:rPr>
        <w:instrText xml:space="preserve"> SEQ level0 \*arabic </w:instrText>
      </w:r>
      <w:r w:rsidRPr="005A25D9">
        <w:rPr>
          <w:lang w:eastAsia="en-US"/>
        </w:rPr>
        <w:fldChar w:fldCharType="separate"/>
      </w:r>
      <w:r w:rsidR="00317F48">
        <w:rPr>
          <w:noProof/>
          <w:lang w:eastAsia="en-US"/>
        </w:rPr>
        <w:t>37</w:t>
      </w:r>
      <w:r w:rsidRPr="005A25D9">
        <w:rPr>
          <w:lang w:eastAsia="en-US"/>
        </w:rPr>
        <w:fldChar w:fldCharType="end"/>
      </w:r>
      <w:r w:rsidRPr="005A25D9">
        <w:rPr>
          <w:lang w:eastAsia="en-US"/>
        </w:rPr>
        <w:t>. </w:t>
      </w:r>
      <w:r w:rsidR="002701D1" w:rsidRPr="005A25D9">
        <w:rPr>
          <w:lang w:eastAsia="en-US"/>
        </w:rPr>
        <w:t>On the other hand, t</w:t>
      </w:r>
      <w:r w:rsidR="00FA1119" w:rsidRPr="005A25D9">
        <w:rPr>
          <w:lang w:eastAsia="en-US"/>
        </w:rPr>
        <w:t xml:space="preserve">he Court </w:t>
      </w:r>
      <w:r w:rsidR="00234AD9" w:rsidRPr="005A25D9">
        <w:rPr>
          <w:lang w:eastAsia="en-US"/>
        </w:rPr>
        <w:t>has stated that</w:t>
      </w:r>
      <w:r w:rsidR="00FE643D" w:rsidRPr="005A25D9">
        <w:rPr>
          <w:lang w:eastAsia="en-US"/>
        </w:rPr>
        <w:t xml:space="preserve"> the </w:t>
      </w:r>
      <w:r w:rsidR="007E65F0" w:rsidRPr="005A25D9">
        <w:rPr>
          <w:rStyle w:val="sb8d990e2"/>
        </w:rPr>
        <w:t xml:space="preserve">importance of exercising </w:t>
      </w:r>
      <w:r w:rsidR="00B536CC" w:rsidRPr="005A25D9">
        <w:rPr>
          <w:rStyle w:val="sb8d990e2"/>
        </w:rPr>
        <w:t xml:space="preserve">procedural </w:t>
      </w:r>
      <w:r w:rsidR="007E65F0" w:rsidRPr="005A25D9">
        <w:rPr>
          <w:rStyle w:val="sb8d990e2"/>
        </w:rPr>
        <w:t>right</w:t>
      </w:r>
      <w:r w:rsidR="00B536CC" w:rsidRPr="005A25D9">
        <w:rPr>
          <w:rStyle w:val="sb8d990e2"/>
        </w:rPr>
        <w:t>s</w:t>
      </w:r>
      <w:r w:rsidR="007E65F0" w:rsidRPr="005A25D9">
        <w:rPr>
          <w:rStyle w:val="sb8d990e2"/>
        </w:rPr>
        <w:t xml:space="preserve"> will vary according to the purpose of the action which the person concerned intends to bring before the courts.</w:t>
      </w:r>
      <w:r w:rsidR="00FE643D" w:rsidRPr="005A25D9">
        <w:rPr>
          <w:rStyle w:val="sb8d990e2"/>
        </w:rPr>
        <w:t xml:space="preserve"> </w:t>
      </w:r>
      <w:r w:rsidR="00234AD9" w:rsidRPr="005A25D9">
        <w:rPr>
          <w:rStyle w:val="sb8d990e2"/>
        </w:rPr>
        <w:t>In particular, t</w:t>
      </w:r>
      <w:r w:rsidR="00FE643D" w:rsidRPr="005A25D9">
        <w:rPr>
          <w:rStyle w:val="sb8d990e2"/>
        </w:rPr>
        <w:t xml:space="preserve">he </w:t>
      </w:r>
      <w:r w:rsidR="007E65F0" w:rsidRPr="005A25D9">
        <w:rPr>
          <w:rStyle w:val="sb8d990e2"/>
        </w:rPr>
        <w:t>right to ask a court to review a declaration of incapacity is one of the most important rights for the person concerned since such a procedure, once initiated, will be decisive for the exercise of all the rights and freedoms affected by the declaration of incapacity</w:t>
      </w:r>
      <w:r w:rsidR="00FE643D" w:rsidRPr="005A25D9">
        <w:rPr>
          <w:rStyle w:val="sb8d990e2"/>
        </w:rPr>
        <w:t xml:space="preserve"> </w:t>
      </w:r>
      <w:r w:rsidR="00AE22B8" w:rsidRPr="005A25D9">
        <w:rPr>
          <w:lang w:eastAsia="en-US"/>
        </w:rPr>
        <w:t xml:space="preserve">(see </w:t>
      </w:r>
      <w:r w:rsidR="00AE22B8" w:rsidRPr="005A25D9">
        <w:rPr>
          <w:i/>
          <w:lang w:eastAsia="en-US"/>
        </w:rPr>
        <w:t>Stanev</w:t>
      </w:r>
      <w:r w:rsidR="007F5D71" w:rsidRPr="005A25D9">
        <w:rPr>
          <w:lang w:eastAsia="en-US"/>
        </w:rPr>
        <w:t xml:space="preserve">, cited above, </w:t>
      </w:r>
      <w:r w:rsidR="00AE22B8" w:rsidRPr="005A25D9">
        <w:rPr>
          <w:snapToGrid w:val="0"/>
          <w:szCs w:val="24"/>
          <w:lang w:eastAsia="en-US"/>
        </w:rPr>
        <w:t>§</w:t>
      </w:r>
      <w:r w:rsidR="003E0366" w:rsidRPr="005A25D9">
        <w:rPr>
          <w:snapToGrid w:val="0"/>
          <w:szCs w:val="24"/>
          <w:lang w:eastAsia="en-US"/>
        </w:rPr>
        <w:t xml:space="preserve"> </w:t>
      </w:r>
      <w:r w:rsidR="00AE22B8" w:rsidRPr="005A25D9">
        <w:rPr>
          <w:snapToGrid w:val="0"/>
          <w:szCs w:val="24"/>
          <w:lang w:eastAsia="en-US"/>
        </w:rPr>
        <w:t>241</w:t>
      </w:r>
      <w:r w:rsidR="00AE22B8" w:rsidRPr="005A25D9">
        <w:rPr>
          <w:rStyle w:val="sb8d990e2"/>
        </w:rPr>
        <w:t>)</w:t>
      </w:r>
      <w:r w:rsidR="00FE643D" w:rsidRPr="005A25D9">
        <w:rPr>
          <w:rStyle w:val="sb8d990e2"/>
        </w:rPr>
        <w:t>.</w:t>
      </w:r>
    </w:p>
    <w:p w:rsidR="001757BF" w:rsidRPr="005A25D9" w:rsidRDefault="00530E5E" w:rsidP="002F4BCF">
      <w:pPr>
        <w:pStyle w:val="JuPara"/>
      </w:pPr>
      <w:r w:rsidRPr="005A25D9">
        <w:rPr>
          <w:rStyle w:val="sb8d990e2"/>
        </w:rPr>
        <w:fldChar w:fldCharType="begin"/>
      </w:r>
      <w:r w:rsidRPr="005A25D9">
        <w:rPr>
          <w:rStyle w:val="sb8d990e2"/>
        </w:rPr>
        <w:instrText xml:space="preserve"> SEQ level0 \*arabic </w:instrText>
      </w:r>
      <w:r w:rsidRPr="005A25D9">
        <w:rPr>
          <w:rStyle w:val="sb8d990e2"/>
        </w:rPr>
        <w:fldChar w:fldCharType="separate"/>
      </w:r>
      <w:r w:rsidR="00317F48">
        <w:rPr>
          <w:rStyle w:val="sb8d990e2"/>
          <w:noProof/>
        </w:rPr>
        <w:t>38</w:t>
      </w:r>
      <w:r w:rsidRPr="005A25D9">
        <w:rPr>
          <w:rStyle w:val="sb8d990e2"/>
        </w:rPr>
        <w:fldChar w:fldCharType="end"/>
      </w:r>
      <w:r w:rsidRPr="005A25D9">
        <w:rPr>
          <w:rStyle w:val="sb8d990e2"/>
        </w:rPr>
        <w:t>.  </w:t>
      </w:r>
      <w:r w:rsidR="00513A00" w:rsidRPr="005A25D9">
        <w:rPr>
          <w:rStyle w:val="sb8d990e2"/>
        </w:rPr>
        <w:t xml:space="preserve">The Court notes that </w:t>
      </w:r>
      <w:r w:rsidR="002701D1" w:rsidRPr="005A25D9">
        <w:rPr>
          <w:rStyle w:val="sb8d990e2"/>
        </w:rPr>
        <w:t>the approach</w:t>
      </w:r>
      <w:r w:rsidR="00E3405B" w:rsidRPr="005A25D9">
        <w:rPr>
          <w:rStyle w:val="sb8d990e2"/>
        </w:rPr>
        <w:t xml:space="preserve"> pursued by domestic law</w:t>
      </w:r>
      <w:r w:rsidR="002701D1" w:rsidRPr="005A25D9">
        <w:rPr>
          <w:rStyle w:val="sb8d990e2"/>
        </w:rPr>
        <w:t xml:space="preserve">, according to which an incapacitated person has no right of direct </w:t>
      </w:r>
      <w:r w:rsidR="00513A00" w:rsidRPr="005A25D9">
        <w:rPr>
          <w:rStyle w:val="sb8d990e2"/>
        </w:rPr>
        <w:t>access to a court with a view to having his or her legal capacity restored</w:t>
      </w:r>
      <w:r w:rsidR="002701D1" w:rsidRPr="005A25D9">
        <w:rPr>
          <w:rStyle w:val="sb8d990e2"/>
        </w:rPr>
        <w:t xml:space="preserve">, </w:t>
      </w:r>
      <w:r w:rsidR="00E3405B" w:rsidRPr="005A25D9">
        <w:rPr>
          <w:rStyle w:val="sb8d990e2"/>
        </w:rPr>
        <w:t xml:space="preserve">is </w:t>
      </w:r>
      <w:r w:rsidR="00513A00" w:rsidRPr="005A25D9">
        <w:rPr>
          <w:rStyle w:val="sb8d990e2"/>
        </w:rPr>
        <w:t xml:space="preserve">not in line with the general trend </w:t>
      </w:r>
      <w:r w:rsidRPr="005A25D9">
        <w:rPr>
          <w:rStyle w:val="sb8d990e2"/>
        </w:rPr>
        <w:t>at European level</w:t>
      </w:r>
      <w:r w:rsidR="00513A00" w:rsidRPr="005A25D9">
        <w:rPr>
          <w:rStyle w:val="sb8d990e2"/>
        </w:rPr>
        <w:t xml:space="preserve">. </w:t>
      </w:r>
      <w:r w:rsidRPr="005A25D9">
        <w:rPr>
          <w:rStyle w:val="sb8d990e2"/>
        </w:rPr>
        <w:t>In particular, t</w:t>
      </w:r>
      <w:r w:rsidRPr="005A25D9">
        <w:t xml:space="preserve">he comparative analysis conducted in the case of </w:t>
      </w:r>
      <w:r w:rsidRPr="005A25D9">
        <w:rPr>
          <w:i/>
        </w:rPr>
        <w:t>Stanev</w:t>
      </w:r>
      <w:r w:rsidRPr="005A25D9">
        <w:t xml:space="preserve"> (cited above, §§ 88-90) show</w:t>
      </w:r>
      <w:r w:rsidR="00E3405B" w:rsidRPr="005A25D9">
        <w:t>s</w:t>
      </w:r>
      <w:r w:rsidRPr="005A25D9">
        <w:t xml:space="preserve"> that seventeen of the twenty national legal systems studied provide</w:t>
      </w:r>
      <w:r w:rsidR="00AE418D" w:rsidRPr="005A25D9">
        <w:t>d at the time</w:t>
      </w:r>
      <w:r w:rsidRPr="005A25D9">
        <w:t xml:space="preserve"> for direct access to the courts for persons </w:t>
      </w:r>
      <w:r w:rsidR="00E3405B" w:rsidRPr="005A25D9">
        <w:t xml:space="preserve">who have been </w:t>
      </w:r>
      <w:r w:rsidRPr="005A25D9">
        <w:t>declared fully incapable (ibid., §</w:t>
      </w:r>
      <w:r w:rsidR="003E0366" w:rsidRPr="005A25D9">
        <w:t xml:space="preserve"> </w:t>
      </w:r>
      <w:r w:rsidRPr="005A25D9">
        <w:t>243).</w:t>
      </w:r>
    </w:p>
    <w:p w:rsidR="00B95CFD" w:rsidRPr="005A25D9" w:rsidRDefault="008B6BA9" w:rsidP="002F4BCF">
      <w:pPr>
        <w:pStyle w:val="JuPara"/>
        <w:rPr>
          <w:rStyle w:val="sb8d990e2"/>
        </w:rPr>
      </w:pPr>
      <w:r w:rsidRPr="005A25D9">
        <w:rPr>
          <w:rStyle w:val="sb8d990e2"/>
        </w:rPr>
        <w:fldChar w:fldCharType="begin"/>
      </w:r>
      <w:r w:rsidRPr="005A25D9">
        <w:rPr>
          <w:rStyle w:val="sb8d990e2"/>
        </w:rPr>
        <w:instrText xml:space="preserve"> SEQ level0 \*arabic </w:instrText>
      </w:r>
      <w:r w:rsidRPr="005A25D9">
        <w:rPr>
          <w:rStyle w:val="sb8d990e2"/>
        </w:rPr>
        <w:fldChar w:fldCharType="separate"/>
      </w:r>
      <w:r w:rsidR="00317F48">
        <w:rPr>
          <w:rStyle w:val="sb8d990e2"/>
          <w:noProof/>
        </w:rPr>
        <w:t>39</w:t>
      </w:r>
      <w:r w:rsidRPr="005A25D9">
        <w:rPr>
          <w:rStyle w:val="sb8d990e2"/>
        </w:rPr>
        <w:fldChar w:fldCharType="end"/>
      </w:r>
      <w:r w:rsidRPr="005A25D9">
        <w:rPr>
          <w:rStyle w:val="sb8d990e2"/>
        </w:rPr>
        <w:t>.  </w:t>
      </w:r>
      <w:r w:rsidR="00530E5E" w:rsidRPr="005A25D9">
        <w:rPr>
          <w:rStyle w:val="sb8d990e2"/>
        </w:rPr>
        <w:t xml:space="preserve">Moreover, </w:t>
      </w:r>
      <w:r w:rsidR="00E3405B" w:rsidRPr="005A25D9">
        <w:rPr>
          <w:rStyle w:val="sb8d990e2"/>
        </w:rPr>
        <w:t xml:space="preserve">as regards the situation in </w:t>
      </w:r>
      <w:smartTag w:uri="urn:schemas-microsoft-com:office:smarttags" w:element="country-region">
        <w:smartTag w:uri="urn:schemas-microsoft-com:office:smarttags" w:element="place">
          <w:r w:rsidR="00E3405B" w:rsidRPr="005A25D9">
            <w:rPr>
              <w:rStyle w:val="sb8d990e2"/>
            </w:rPr>
            <w:t>Ukraine</w:t>
          </w:r>
        </w:smartTag>
      </w:smartTag>
      <w:r w:rsidR="00E3405B" w:rsidRPr="005A25D9">
        <w:rPr>
          <w:rStyle w:val="sb8d990e2"/>
        </w:rPr>
        <w:t xml:space="preserve">, </w:t>
      </w:r>
      <w:r w:rsidR="00530E5E" w:rsidRPr="005A25D9">
        <w:rPr>
          <w:rStyle w:val="sb8d990e2"/>
        </w:rPr>
        <w:t xml:space="preserve">the general prohibition on direct access to a court by that category of individuals </w:t>
      </w:r>
      <w:r w:rsidRPr="005A25D9">
        <w:rPr>
          <w:rStyle w:val="sb8d990e2"/>
        </w:rPr>
        <w:t xml:space="preserve">does not leave any room for </w:t>
      </w:r>
      <w:r w:rsidR="00530E5E" w:rsidRPr="005A25D9">
        <w:rPr>
          <w:rStyle w:val="sb8d990e2"/>
        </w:rPr>
        <w:t>exception</w:t>
      </w:r>
      <w:r w:rsidRPr="005A25D9">
        <w:rPr>
          <w:rStyle w:val="sb8d990e2"/>
        </w:rPr>
        <w:t xml:space="preserve">. </w:t>
      </w:r>
      <w:r w:rsidR="00FC22D8" w:rsidRPr="005A25D9">
        <w:rPr>
          <w:rStyle w:val="sb8d990e2"/>
        </w:rPr>
        <w:t>At the same time, t</w:t>
      </w:r>
      <w:r w:rsidR="006B348D" w:rsidRPr="005A25D9">
        <w:rPr>
          <w:rStyle w:val="sb8d990e2"/>
        </w:rPr>
        <w:t xml:space="preserve">he domestic law does not </w:t>
      </w:r>
      <w:r w:rsidRPr="005A25D9">
        <w:rPr>
          <w:rStyle w:val="sb8d990e2"/>
        </w:rPr>
        <w:t xml:space="preserve">provide safeguards to the effect that the matter </w:t>
      </w:r>
      <w:r w:rsidR="00E3405B" w:rsidRPr="005A25D9">
        <w:rPr>
          <w:rStyle w:val="sb8d990e2"/>
        </w:rPr>
        <w:t xml:space="preserve">of restoration of legal capacity </w:t>
      </w:r>
      <w:r w:rsidRPr="005A25D9">
        <w:rPr>
          <w:rStyle w:val="sb8d990e2"/>
        </w:rPr>
        <w:t xml:space="preserve">is </w:t>
      </w:r>
      <w:r w:rsidR="00E3405B" w:rsidRPr="005A25D9">
        <w:rPr>
          <w:rStyle w:val="sb8d990e2"/>
        </w:rPr>
        <w:t xml:space="preserve">to be </w:t>
      </w:r>
      <w:r w:rsidRPr="005A25D9">
        <w:rPr>
          <w:rStyle w:val="sb8d990e2"/>
        </w:rPr>
        <w:t xml:space="preserve">reviewed </w:t>
      </w:r>
      <w:r w:rsidR="006B348D" w:rsidRPr="005A25D9">
        <w:rPr>
          <w:rStyle w:val="sb8d990e2"/>
        </w:rPr>
        <w:t xml:space="preserve">by a court </w:t>
      </w:r>
      <w:r w:rsidRPr="005A25D9">
        <w:rPr>
          <w:rStyle w:val="sb8d990e2"/>
        </w:rPr>
        <w:t>at reasonable intervals</w:t>
      </w:r>
      <w:r w:rsidR="007A4A6F" w:rsidRPr="005A25D9">
        <w:rPr>
          <w:rStyle w:val="sb8d990e2"/>
        </w:rPr>
        <w:t xml:space="preserve">. </w:t>
      </w:r>
      <w:r w:rsidR="00FC22D8" w:rsidRPr="005A25D9">
        <w:rPr>
          <w:rStyle w:val="sb8d990e2"/>
        </w:rPr>
        <w:t xml:space="preserve">Lastly, in the present case </w:t>
      </w:r>
      <w:r w:rsidR="006B348D" w:rsidRPr="005A25D9">
        <w:rPr>
          <w:rStyle w:val="sb8d990e2"/>
        </w:rPr>
        <w:t xml:space="preserve">it </w:t>
      </w:r>
      <w:r w:rsidR="00394064" w:rsidRPr="005A25D9">
        <w:rPr>
          <w:rStyle w:val="sb8d990e2"/>
        </w:rPr>
        <w:t xml:space="preserve">has not </w:t>
      </w:r>
      <w:r w:rsidR="006B348D" w:rsidRPr="005A25D9">
        <w:rPr>
          <w:rStyle w:val="sb8d990e2"/>
        </w:rPr>
        <w:t xml:space="preserve">been shown that the </w:t>
      </w:r>
      <w:r w:rsidR="00CD690B" w:rsidRPr="005A25D9">
        <w:rPr>
          <w:rStyle w:val="sb8d990e2"/>
        </w:rPr>
        <w:t xml:space="preserve">relevant </w:t>
      </w:r>
      <w:r w:rsidR="00394064" w:rsidRPr="005A25D9">
        <w:rPr>
          <w:rStyle w:val="sb8d990e2"/>
        </w:rPr>
        <w:t>domestic authorities effectively supervised the applicant</w:t>
      </w:r>
      <w:r w:rsidR="00125DE6">
        <w:rPr>
          <w:rStyle w:val="sb8d990e2"/>
        </w:rPr>
        <w:t>’</w:t>
      </w:r>
      <w:r w:rsidR="00394064" w:rsidRPr="005A25D9">
        <w:rPr>
          <w:rStyle w:val="sb8d990e2"/>
        </w:rPr>
        <w:t>s situation</w:t>
      </w:r>
      <w:r w:rsidR="00CD690B" w:rsidRPr="005A25D9">
        <w:rPr>
          <w:rStyle w:val="sb8d990e2"/>
        </w:rPr>
        <w:t>,</w:t>
      </w:r>
      <w:r w:rsidR="00394064" w:rsidRPr="005A25D9">
        <w:rPr>
          <w:rStyle w:val="sb8d990e2"/>
        </w:rPr>
        <w:t xml:space="preserve"> </w:t>
      </w:r>
      <w:r w:rsidR="00CD690B" w:rsidRPr="005A25D9">
        <w:rPr>
          <w:rStyle w:val="sb8d990e2"/>
        </w:rPr>
        <w:t xml:space="preserve">including the performance of duties by </w:t>
      </w:r>
      <w:r w:rsidR="00E3405B" w:rsidRPr="005A25D9">
        <w:rPr>
          <w:rStyle w:val="sb8d990e2"/>
        </w:rPr>
        <w:t xml:space="preserve">her </w:t>
      </w:r>
      <w:r w:rsidR="00CD690B" w:rsidRPr="005A25D9">
        <w:rPr>
          <w:rStyle w:val="sb8d990e2"/>
        </w:rPr>
        <w:t xml:space="preserve">guardian, </w:t>
      </w:r>
      <w:r w:rsidR="00E3405B" w:rsidRPr="005A25D9">
        <w:rPr>
          <w:rStyle w:val="sb8d990e2"/>
        </w:rPr>
        <w:t xml:space="preserve">or that they </w:t>
      </w:r>
      <w:r w:rsidR="00CD690B" w:rsidRPr="005A25D9">
        <w:rPr>
          <w:rStyle w:val="sb8d990e2"/>
        </w:rPr>
        <w:t>took the requisite steps for the protection of the applicant</w:t>
      </w:r>
      <w:r w:rsidR="00125DE6">
        <w:rPr>
          <w:rStyle w:val="sb8d990e2"/>
        </w:rPr>
        <w:t>’</w:t>
      </w:r>
      <w:r w:rsidR="00CD690B" w:rsidRPr="005A25D9">
        <w:rPr>
          <w:rStyle w:val="sb8d990e2"/>
        </w:rPr>
        <w:t>s interests.</w:t>
      </w:r>
    </w:p>
    <w:p w:rsidR="008E3912" w:rsidRPr="005A25D9" w:rsidRDefault="001647CB" w:rsidP="008E3912">
      <w:pPr>
        <w:pStyle w:val="JuPara"/>
      </w:pPr>
      <w:r w:rsidRPr="005A25D9">
        <w:fldChar w:fldCharType="begin"/>
      </w:r>
      <w:r w:rsidRPr="005A25D9">
        <w:instrText xml:space="preserve"> SEQ level0 \*arabic </w:instrText>
      </w:r>
      <w:r w:rsidRPr="005A25D9">
        <w:fldChar w:fldCharType="separate"/>
      </w:r>
      <w:r w:rsidR="00317F48">
        <w:rPr>
          <w:noProof/>
        </w:rPr>
        <w:t>40</w:t>
      </w:r>
      <w:r w:rsidRPr="005A25D9">
        <w:fldChar w:fldCharType="end"/>
      </w:r>
      <w:r w:rsidRPr="005A25D9">
        <w:t>.  </w:t>
      </w:r>
      <w:r w:rsidR="00EE55C0" w:rsidRPr="005A25D9">
        <w:t>In the light of the above considerations</w:t>
      </w:r>
      <w:r w:rsidR="00777851" w:rsidRPr="005A25D9">
        <w:t>,</w:t>
      </w:r>
      <w:r w:rsidR="00EE55C0" w:rsidRPr="005A25D9">
        <w:t xml:space="preserve"> the Court </w:t>
      </w:r>
      <w:r w:rsidR="008E3912" w:rsidRPr="005A25D9">
        <w:t>notes</w:t>
      </w:r>
      <w:r w:rsidR="00EE55C0" w:rsidRPr="005A25D9">
        <w:t xml:space="preserve"> that in the </w:t>
      </w:r>
      <w:r w:rsidR="006B7CBE" w:rsidRPr="005A25D9">
        <w:t>present</w:t>
      </w:r>
      <w:r w:rsidR="00EE55C0" w:rsidRPr="005A25D9">
        <w:t xml:space="preserve"> case </w:t>
      </w:r>
      <w:r w:rsidR="008E3912" w:rsidRPr="005A25D9">
        <w:t>the applicant</w:t>
      </w:r>
      <w:r w:rsidR="00125DE6">
        <w:t>’</w:t>
      </w:r>
      <w:r w:rsidR="008E3912" w:rsidRPr="005A25D9">
        <w:t xml:space="preserve">s inability to </w:t>
      </w:r>
      <w:r w:rsidR="00B536CC" w:rsidRPr="005A25D9">
        <w:t xml:space="preserve">directly </w:t>
      </w:r>
      <w:r w:rsidR="008E3912" w:rsidRPr="005A25D9">
        <w:t xml:space="preserve">seek the </w:t>
      </w:r>
      <w:r w:rsidR="008E3912" w:rsidRPr="005A25D9">
        <w:rPr>
          <w:rStyle w:val="sb8d990e2"/>
        </w:rPr>
        <w:t xml:space="preserve">restoration of her legal capacity </w:t>
      </w:r>
      <w:r w:rsidR="00A81246" w:rsidRPr="005A25D9">
        <w:rPr>
          <w:rStyle w:val="sb8d990e2"/>
        </w:rPr>
        <w:t>resulted in th</w:t>
      </w:r>
      <w:r w:rsidR="009B4C72" w:rsidRPr="005A25D9">
        <w:rPr>
          <w:rStyle w:val="sb8d990e2"/>
        </w:rPr>
        <w:t>at</w:t>
      </w:r>
      <w:r w:rsidR="00A81246" w:rsidRPr="005A25D9">
        <w:rPr>
          <w:rStyle w:val="sb8d990e2"/>
        </w:rPr>
        <w:t xml:space="preserve"> matter not be</w:t>
      </w:r>
      <w:r w:rsidR="00777851" w:rsidRPr="005A25D9">
        <w:rPr>
          <w:rStyle w:val="sb8d990e2"/>
        </w:rPr>
        <w:t>ing</w:t>
      </w:r>
      <w:r w:rsidR="00A81246" w:rsidRPr="005A25D9">
        <w:rPr>
          <w:rStyle w:val="sb8d990e2"/>
        </w:rPr>
        <w:t xml:space="preserve"> examined by the courts</w:t>
      </w:r>
      <w:r w:rsidR="00F0513B" w:rsidRPr="005A25D9">
        <w:rPr>
          <w:rStyle w:val="sb8d990e2"/>
        </w:rPr>
        <w:t>. Th</w:t>
      </w:r>
      <w:r w:rsidR="009B4C72" w:rsidRPr="005A25D9">
        <w:rPr>
          <w:rStyle w:val="sb8d990e2"/>
        </w:rPr>
        <w:t>e</w:t>
      </w:r>
      <w:r w:rsidR="00F0513B" w:rsidRPr="005A25D9">
        <w:rPr>
          <w:rStyle w:val="sb8d990e2"/>
        </w:rPr>
        <w:t xml:space="preserve"> </w:t>
      </w:r>
      <w:r w:rsidR="009B4C72" w:rsidRPr="005A25D9">
        <w:rPr>
          <w:rStyle w:val="sb8d990e2"/>
        </w:rPr>
        <w:t xml:space="preserve">absence of judicial review of that issue, which </w:t>
      </w:r>
      <w:r w:rsidR="00A81246" w:rsidRPr="005A25D9">
        <w:rPr>
          <w:rStyle w:val="sb8d990e2"/>
        </w:rPr>
        <w:t>seriously affect</w:t>
      </w:r>
      <w:r w:rsidR="00F0513B" w:rsidRPr="005A25D9">
        <w:rPr>
          <w:rStyle w:val="sb8d990e2"/>
        </w:rPr>
        <w:t xml:space="preserve">ed </w:t>
      </w:r>
      <w:r w:rsidR="00A81246" w:rsidRPr="005A25D9">
        <w:rPr>
          <w:rStyle w:val="sb8d990e2"/>
        </w:rPr>
        <w:t>many aspects of the applicant</w:t>
      </w:r>
      <w:r w:rsidR="00125DE6">
        <w:rPr>
          <w:rStyle w:val="sb8d990e2"/>
        </w:rPr>
        <w:t>’</w:t>
      </w:r>
      <w:r w:rsidR="00A81246" w:rsidRPr="005A25D9">
        <w:rPr>
          <w:rStyle w:val="sb8d990e2"/>
        </w:rPr>
        <w:t>s life</w:t>
      </w:r>
      <w:r w:rsidR="009B4C72" w:rsidRPr="005A25D9">
        <w:rPr>
          <w:rStyle w:val="sb8d990e2"/>
        </w:rPr>
        <w:t>,</w:t>
      </w:r>
      <w:r w:rsidR="00F0513B" w:rsidRPr="005A25D9">
        <w:rPr>
          <w:rStyle w:val="sb8d990e2"/>
        </w:rPr>
        <w:t xml:space="preserve"> could not be </w:t>
      </w:r>
      <w:r w:rsidR="009B4C72" w:rsidRPr="005A25D9">
        <w:rPr>
          <w:rStyle w:val="sb8d990e2"/>
        </w:rPr>
        <w:t>justified</w:t>
      </w:r>
      <w:r w:rsidR="00F0513B" w:rsidRPr="005A25D9">
        <w:rPr>
          <w:rStyle w:val="sb8d990e2"/>
        </w:rPr>
        <w:t xml:space="preserve"> by the legitimate </w:t>
      </w:r>
      <w:r w:rsidR="009B4C72" w:rsidRPr="005A25D9">
        <w:rPr>
          <w:rStyle w:val="sb8d990e2"/>
        </w:rPr>
        <w:t>aims</w:t>
      </w:r>
      <w:r w:rsidR="00F0513B" w:rsidRPr="005A25D9">
        <w:rPr>
          <w:rStyle w:val="sb8d990e2"/>
        </w:rPr>
        <w:t xml:space="preserve"> underpinning the limitations on access to a court</w:t>
      </w:r>
      <w:r w:rsidR="00B536CC" w:rsidRPr="005A25D9">
        <w:rPr>
          <w:rStyle w:val="sb8d990e2"/>
        </w:rPr>
        <w:t xml:space="preserve"> by incapacitated persons</w:t>
      </w:r>
      <w:r w:rsidR="00F0513B" w:rsidRPr="005A25D9">
        <w:rPr>
          <w:rStyle w:val="sb8d990e2"/>
        </w:rPr>
        <w:t>.</w:t>
      </w:r>
      <w:r w:rsidR="008B6BA9" w:rsidRPr="005A25D9">
        <w:rPr>
          <w:rStyle w:val="sb8d990e2"/>
        </w:rPr>
        <w:t xml:space="preserve"> </w:t>
      </w:r>
      <w:r w:rsidR="0026084E" w:rsidRPr="005A25D9">
        <w:rPr>
          <w:rStyle w:val="sb8d990e2"/>
        </w:rPr>
        <w:t xml:space="preserve">The facts of the present case lead the Court to conclude that the situation in which the applicant was placed amounted to a denial of justice </w:t>
      </w:r>
      <w:r w:rsidR="00777851" w:rsidRPr="005A25D9">
        <w:rPr>
          <w:rStyle w:val="sb8d990e2"/>
        </w:rPr>
        <w:t xml:space="preserve">as regards </w:t>
      </w:r>
      <w:r w:rsidR="0026084E" w:rsidRPr="005A25D9">
        <w:rPr>
          <w:rStyle w:val="sb8d990e2"/>
        </w:rPr>
        <w:t xml:space="preserve">the </w:t>
      </w:r>
      <w:r w:rsidR="00777851" w:rsidRPr="005A25D9">
        <w:rPr>
          <w:rStyle w:val="sb8d990e2"/>
        </w:rPr>
        <w:t xml:space="preserve">possibility </w:t>
      </w:r>
      <w:r w:rsidR="0026084E" w:rsidRPr="005A25D9">
        <w:rPr>
          <w:rStyle w:val="sb8d990e2"/>
        </w:rPr>
        <w:t xml:space="preserve">of </w:t>
      </w:r>
      <w:r w:rsidR="00A72BE9" w:rsidRPr="005A25D9">
        <w:rPr>
          <w:rStyle w:val="sb8d990e2"/>
        </w:rPr>
        <w:t xml:space="preserve">securing a review </w:t>
      </w:r>
      <w:r w:rsidR="0026084E" w:rsidRPr="005A25D9">
        <w:rPr>
          <w:rStyle w:val="sb8d990e2"/>
        </w:rPr>
        <w:t xml:space="preserve">of her legal capacity. </w:t>
      </w:r>
      <w:r w:rsidR="0026084E" w:rsidRPr="005A25D9">
        <w:t>There has therefore been a violation of Article</w:t>
      </w:r>
      <w:r w:rsidR="003E0366" w:rsidRPr="005A25D9">
        <w:t xml:space="preserve"> </w:t>
      </w:r>
      <w:r w:rsidR="0026084E" w:rsidRPr="005A25D9">
        <w:t>6</w:t>
      </w:r>
      <w:r w:rsidR="003E0366" w:rsidRPr="005A25D9">
        <w:t xml:space="preserve"> </w:t>
      </w:r>
      <w:r w:rsidR="0026084E" w:rsidRPr="005A25D9">
        <w:t>§</w:t>
      </w:r>
      <w:r w:rsidR="003E0366" w:rsidRPr="005A25D9">
        <w:t xml:space="preserve"> </w:t>
      </w:r>
      <w:r w:rsidR="0026084E" w:rsidRPr="005A25D9">
        <w:t>1 of the Convention.</w:t>
      </w:r>
    </w:p>
    <w:p w:rsidR="00F71A6A" w:rsidRPr="005A25D9" w:rsidRDefault="00977BAF">
      <w:pPr>
        <w:pStyle w:val="JuHIRoman"/>
      </w:pPr>
      <w:r w:rsidRPr="005A25D9">
        <w:t>II</w:t>
      </w:r>
      <w:r w:rsidR="00F71A6A" w:rsidRPr="005A25D9">
        <w:t>.</w:t>
      </w:r>
      <w:r w:rsidR="00337600" w:rsidRPr="005A25D9">
        <w:t xml:space="preserve">  ALLEGED VIOLATION OF ARTICLE </w:t>
      </w:r>
      <w:r w:rsidRPr="005A25D9">
        <w:t>14</w:t>
      </w:r>
      <w:r w:rsidR="00F71A6A" w:rsidRPr="005A25D9">
        <w:t xml:space="preserve"> OF THE CONVENTION</w:t>
      </w:r>
    </w:p>
    <w:p w:rsidR="00DF53C0"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41</w:t>
      </w:r>
      <w:r w:rsidRPr="005A25D9">
        <w:fldChar w:fldCharType="end"/>
      </w:r>
      <w:r w:rsidR="00F71A6A" w:rsidRPr="005A25D9">
        <w:t xml:space="preserve">.  The </w:t>
      </w:r>
      <w:r w:rsidR="005F4753" w:rsidRPr="005A25D9">
        <w:t>applicant</w:t>
      </w:r>
      <w:r w:rsidR="00F71A6A" w:rsidRPr="005A25D9">
        <w:t xml:space="preserve"> complained </w:t>
      </w:r>
      <w:r w:rsidR="006B7CBE" w:rsidRPr="005A25D9">
        <w:t xml:space="preserve">that she </w:t>
      </w:r>
      <w:r w:rsidR="00777851" w:rsidRPr="005A25D9">
        <w:t xml:space="preserve">had been </w:t>
      </w:r>
      <w:r w:rsidR="006B7CBE" w:rsidRPr="005A25D9">
        <w:t xml:space="preserve">subjected to discriminatory treatment on account of having no direct access to a court. </w:t>
      </w:r>
      <w:r w:rsidR="00A81246" w:rsidRPr="005A25D9">
        <w:t>She relied on Article 14 of the Convention</w:t>
      </w:r>
      <w:r w:rsidR="00777851" w:rsidRPr="005A25D9">
        <w:t>,</w:t>
      </w:r>
      <w:r w:rsidR="00A81246" w:rsidRPr="005A25D9">
        <w:t xml:space="preserve"> which provides:</w:t>
      </w:r>
    </w:p>
    <w:p w:rsidR="00A81246" w:rsidRPr="005A25D9" w:rsidRDefault="00A81246" w:rsidP="00A81246">
      <w:pPr>
        <w:pStyle w:val="JuQuot"/>
      </w:pPr>
      <w:r w:rsidRPr="005A25D9">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42</w:t>
      </w:r>
      <w:r w:rsidRPr="005A25D9">
        <w:fldChar w:fldCharType="end"/>
      </w:r>
      <w:r w:rsidR="00F71A6A" w:rsidRPr="005A25D9">
        <w:t>.  </w:t>
      </w:r>
      <w:r w:rsidR="00765252" w:rsidRPr="005A25D9">
        <w:t xml:space="preserve">The Court notes that this complaint is </w:t>
      </w:r>
      <w:r w:rsidR="00FF14EE" w:rsidRPr="005A25D9">
        <w:t xml:space="preserve">closely </w:t>
      </w:r>
      <w:r w:rsidR="00765252" w:rsidRPr="005A25D9">
        <w:t xml:space="preserve">linked to the one examined above and must therefore likewise be declared admissible. </w:t>
      </w:r>
      <w:r w:rsidR="006D5F31" w:rsidRPr="005A25D9">
        <w:t>However, given the Court</w:t>
      </w:r>
      <w:r w:rsidR="00125DE6">
        <w:t>’</w:t>
      </w:r>
      <w:r w:rsidR="006D5F31" w:rsidRPr="005A25D9">
        <w:t>s finding</w:t>
      </w:r>
      <w:r w:rsidR="00765252" w:rsidRPr="005A25D9">
        <w:t>s</w:t>
      </w:r>
      <w:r w:rsidR="006D5F31" w:rsidRPr="005A25D9">
        <w:t xml:space="preserve"> under Article 6 of the Convention, the present complaint does not give rise to any separate issue. Consequently, the Court holds that it is not necessary to examine the complaint under Article</w:t>
      </w:r>
      <w:r w:rsidR="00FF14EE" w:rsidRPr="005A25D9">
        <w:t> </w:t>
      </w:r>
      <w:r w:rsidR="006D5F31" w:rsidRPr="005A25D9">
        <w:t>14 of the Convention separately.</w:t>
      </w:r>
    </w:p>
    <w:p w:rsidR="00F71A6A" w:rsidRPr="005A25D9" w:rsidRDefault="00977BAF">
      <w:pPr>
        <w:pStyle w:val="JuHIRoman"/>
      </w:pPr>
      <w:r w:rsidRPr="005A25D9">
        <w:t>III</w:t>
      </w:r>
      <w:r w:rsidR="00F71A6A" w:rsidRPr="005A25D9">
        <w:t>.  APPLICATION OF ARTICLE 41</w:t>
      </w:r>
      <w:r w:rsidR="00401D48" w:rsidRPr="005A25D9">
        <w:t xml:space="preserve"> </w:t>
      </w:r>
      <w:r w:rsidR="00F71A6A" w:rsidRPr="005A25D9">
        <w:t>OF THE CONVENTION</w:t>
      </w:r>
    </w:p>
    <w:p w:rsidR="00F71A6A" w:rsidRPr="005A25D9" w:rsidRDefault="00FD502B" w:rsidP="002F4BCF">
      <w:pPr>
        <w:pStyle w:val="JuPara"/>
        <w:keepNext/>
        <w:keepLines/>
      </w:pPr>
      <w:r w:rsidRPr="005A25D9">
        <w:fldChar w:fldCharType="begin"/>
      </w:r>
      <w:r w:rsidRPr="005A25D9">
        <w:instrText xml:space="preserve"> SEQ level0 \*arabic </w:instrText>
      </w:r>
      <w:r w:rsidRPr="005A25D9">
        <w:fldChar w:fldCharType="separate"/>
      </w:r>
      <w:r w:rsidR="00317F48">
        <w:rPr>
          <w:noProof/>
        </w:rPr>
        <w:t>43</w:t>
      </w:r>
      <w:r w:rsidRPr="005A25D9">
        <w:fldChar w:fldCharType="end"/>
      </w:r>
      <w:r w:rsidR="00F71A6A" w:rsidRPr="005A25D9">
        <w:t>.  Article 41 of the Convention provides:</w:t>
      </w:r>
    </w:p>
    <w:p w:rsidR="00F71A6A" w:rsidRPr="005A25D9" w:rsidRDefault="00F71A6A">
      <w:pPr>
        <w:pStyle w:val="JuQuot"/>
        <w:keepNext/>
        <w:keepLines/>
      </w:pPr>
      <w:r w:rsidRPr="005A25D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B95CFD" w:rsidRPr="005A25D9" w:rsidRDefault="00F71A6A" w:rsidP="008824B9">
      <w:pPr>
        <w:pStyle w:val="JuHA"/>
        <w:keepLines w:val="0"/>
        <w:outlineLvl w:val="0"/>
      </w:pPr>
      <w:r w:rsidRPr="005A25D9">
        <w:t>A.  Damage</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44</w:t>
      </w:r>
      <w:r w:rsidRPr="005A25D9">
        <w:fldChar w:fldCharType="end"/>
      </w:r>
      <w:r w:rsidR="00F71A6A" w:rsidRPr="005A25D9">
        <w:t xml:space="preserve">.  The </w:t>
      </w:r>
      <w:r w:rsidR="0005522C" w:rsidRPr="005A25D9">
        <w:t>applicant</w:t>
      </w:r>
      <w:r w:rsidR="00F71A6A" w:rsidRPr="005A25D9">
        <w:t xml:space="preserve"> claimed </w:t>
      </w:r>
      <w:r w:rsidR="00222172" w:rsidRPr="005A25D9">
        <w:t>16,000</w:t>
      </w:r>
      <w:r w:rsidR="00F71A6A" w:rsidRPr="005A25D9">
        <w:t xml:space="preserve"> euros (EUR) in respect of non</w:t>
      </w:r>
      <w:r w:rsidR="003E0366" w:rsidRPr="005A25D9">
        <w:noBreakHyphen/>
      </w:r>
      <w:r w:rsidR="00F71A6A" w:rsidRPr="005A25D9">
        <w:t>pecuniary damage.</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45</w:t>
      </w:r>
      <w:r w:rsidRPr="005A25D9">
        <w:fldChar w:fldCharType="end"/>
      </w:r>
      <w:r w:rsidR="00F71A6A" w:rsidRPr="005A25D9">
        <w:t xml:space="preserve">.  The Government </w:t>
      </w:r>
      <w:r w:rsidR="007A0690" w:rsidRPr="005A25D9">
        <w:t>submitted that the claim was unsubstantiated.</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46</w:t>
      </w:r>
      <w:r w:rsidRPr="005A25D9">
        <w:fldChar w:fldCharType="end"/>
      </w:r>
      <w:r w:rsidR="00F71A6A" w:rsidRPr="005A25D9">
        <w:t xml:space="preserve">.  The Court </w:t>
      </w:r>
      <w:r w:rsidR="007A0690" w:rsidRPr="005A25D9">
        <w:t xml:space="preserve">considers that the applicant must have suffered distress and anxiety on account of the violation </w:t>
      </w:r>
      <w:r w:rsidR="00777851" w:rsidRPr="005A25D9">
        <w:t xml:space="preserve">it has </w:t>
      </w:r>
      <w:r w:rsidR="007A0690" w:rsidRPr="005A25D9">
        <w:t>found. Ruling on an equitable basis, as required by Article 41 of the Convention, it awards the applicant EUR</w:t>
      </w:r>
      <w:r w:rsidR="003E0366" w:rsidRPr="005A25D9">
        <w:t xml:space="preserve"> </w:t>
      </w:r>
      <w:r w:rsidR="008C4E87" w:rsidRPr="005A25D9">
        <w:t>3,600</w:t>
      </w:r>
      <w:r w:rsidR="007A0690" w:rsidRPr="005A25D9">
        <w:t xml:space="preserve"> in respect of non-pecuniary damage.</w:t>
      </w:r>
    </w:p>
    <w:p w:rsidR="00F71A6A" w:rsidRPr="005A25D9" w:rsidRDefault="00F71A6A" w:rsidP="008824B9">
      <w:pPr>
        <w:pStyle w:val="JuHA"/>
        <w:outlineLvl w:val="0"/>
      </w:pPr>
      <w:r w:rsidRPr="005A25D9">
        <w:t>B.  Costs and expenses</w:t>
      </w:r>
    </w:p>
    <w:p w:rsidR="008C4E87" w:rsidRPr="005A25D9" w:rsidRDefault="00AE418D" w:rsidP="002F4BCF">
      <w:pPr>
        <w:pStyle w:val="JuPara"/>
      </w:pPr>
      <w:r w:rsidRPr="005A25D9">
        <w:fldChar w:fldCharType="begin"/>
      </w:r>
      <w:r w:rsidRPr="005A25D9">
        <w:instrText xml:space="preserve"> SEQ level0 \*arabic </w:instrText>
      </w:r>
      <w:r w:rsidRPr="005A25D9">
        <w:fldChar w:fldCharType="separate"/>
      </w:r>
      <w:r w:rsidR="00317F48">
        <w:rPr>
          <w:noProof/>
        </w:rPr>
        <w:t>47</w:t>
      </w:r>
      <w:r w:rsidRPr="005A25D9">
        <w:fldChar w:fldCharType="end"/>
      </w:r>
      <w:r w:rsidRPr="005A25D9">
        <w:t>.  </w:t>
      </w:r>
      <w:r w:rsidR="00F71A6A" w:rsidRPr="005A25D9">
        <w:t xml:space="preserve">The </w:t>
      </w:r>
      <w:r w:rsidR="0005522C" w:rsidRPr="005A25D9">
        <w:t>applicant</w:t>
      </w:r>
      <w:r w:rsidR="00F71A6A" w:rsidRPr="005A25D9">
        <w:t xml:space="preserve"> claimed </w:t>
      </w:r>
      <w:r w:rsidR="00E201FD" w:rsidRPr="005A25D9">
        <w:t>398.21 Ukrainian hryvnias (UAH) in respect of postal expenses</w:t>
      </w:r>
      <w:r w:rsidR="001D7A8F" w:rsidRPr="005A25D9">
        <w:t xml:space="preserve"> and </w:t>
      </w:r>
      <w:r w:rsidR="00E201FD" w:rsidRPr="005A25D9">
        <w:t>UAH</w:t>
      </w:r>
      <w:r w:rsidR="003E0366" w:rsidRPr="005A25D9">
        <w:t xml:space="preserve"> </w:t>
      </w:r>
      <w:r w:rsidR="00E201FD" w:rsidRPr="005A25D9">
        <w:t xml:space="preserve">1,000 </w:t>
      </w:r>
      <w:r w:rsidR="00BB1644" w:rsidRPr="005A25D9">
        <w:t>to cover expenses for</w:t>
      </w:r>
      <w:r w:rsidR="00E201FD" w:rsidRPr="005A25D9">
        <w:t xml:space="preserve"> </w:t>
      </w:r>
      <w:r w:rsidR="00E4717F" w:rsidRPr="005A25D9">
        <w:t>local travel</w:t>
      </w:r>
      <w:r w:rsidR="00777851" w:rsidRPr="005A25D9">
        <w:t xml:space="preserve"> and</w:t>
      </w:r>
      <w:r w:rsidR="00E201FD" w:rsidRPr="005A25D9">
        <w:t xml:space="preserve"> printing and copying </w:t>
      </w:r>
      <w:r w:rsidR="00BB1644" w:rsidRPr="005A25D9">
        <w:t>material</w:t>
      </w:r>
      <w:r w:rsidR="001D7A8F" w:rsidRPr="005A25D9">
        <w:t xml:space="preserve">. She further claimed </w:t>
      </w:r>
      <w:r w:rsidR="00E201FD" w:rsidRPr="005A25D9">
        <w:t>EUR</w:t>
      </w:r>
      <w:r w:rsidR="003E0366" w:rsidRPr="005A25D9">
        <w:t xml:space="preserve"> </w:t>
      </w:r>
      <w:r w:rsidR="00E201FD" w:rsidRPr="005A25D9">
        <w:t>8,734.55</w:t>
      </w:r>
      <w:r w:rsidR="00E4717F" w:rsidRPr="005A25D9">
        <w:t xml:space="preserve">, </w:t>
      </w:r>
      <w:r w:rsidR="00777851" w:rsidRPr="005A25D9">
        <w:t xml:space="preserve">less </w:t>
      </w:r>
      <w:r w:rsidR="00E4717F" w:rsidRPr="005A25D9">
        <w:t xml:space="preserve">the amount already paid </w:t>
      </w:r>
      <w:r w:rsidR="00777851" w:rsidRPr="005A25D9">
        <w:t>by way</w:t>
      </w:r>
      <w:r w:rsidR="00BB1644" w:rsidRPr="005A25D9">
        <w:t xml:space="preserve"> of legal aid,</w:t>
      </w:r>
      <w:r w:rsidR="00E201FD" w:rsidRPr="005A25D9">
        <w:t xml:space="preserve"> </w:t>
      </w:r>
      <w:r w:rsidR="00BB1644" w:rsidRPr="005A25D9">
        <w:t>in respect of</w:t>
      </w:r>
      <w:r w:rsidR="00E201FD" w:rsidRPr="005A25D9">
        <w:t xml:space="preserve"> </w:t>
      </w:r>
      <w:r w:rsidR="008E3912" w:rsidRPr="005A25D9">
        <w:t xml:space="preserve">expenses incurred in connection with her legal representation before the Court. </w:t>
      </w:r>
      <w:r w:rsidR="00401D48" w:rsidRPr="005A25D9">
        <w:rPr>
          <w:rStyle w:val="sb8d990e2"/>
        </w:rPr>
        <w:t xml:space="preserve">The applicant asked that any award in respect of the latter claim be paid directly to the bank account of the </w:t>
      </w:r>
      <w:smartTag w:uri="urn:schemas-microsoft-com:office:smarttags" w:element="place">
        <w:smartTag w:uri="urn:schemas-microsoft-com:office:smarttags" w:element="PlaceName">
          <w:r w:rsidR="00401D48" w:rsidRPr="005A25D9">
            <w:t>Mental</w:t>
          </w:r>
        </w:smartTag>
        <w:r w:rsidR="00401D48" w:rsidRPr="005A25D9">
          <w:t xml:space="preserve"> </w:t>
        </w:r>
        <w:smartTag w:uri="urn:schemas-microsoft-com:office:smarttags" w:element="PlaceName">
          <w:r w:rsidR="00401D48" w:rsidRPr="005A25D9">
            <w:t>Disability</w:t>
          </w:r>
        </w:smartTag>
        <w:r w:rsidR="00401D48" w:rsidRPr="005A25D9">
          <w:t xml:space="preserve"> </w:t>
        </w:r>
        <w:smartTag w:uri="urn:schemas-microsoft-com:office:smarttags" w:element="PlaceName">
          <w:r w:rsidR="00401D48" w:rsidRPr="005A25D9">
            <w:t>Advocacy</w:t>
          </w:r>
        </w:smartTag>
        <w:r w:rsidR="00401D48" w:rsidRPr="005A25D9">
          <w:t xml:space="preserve"> </w:t>
        </w:r>
        <w:smartTag w:uri="urn:schemas-microsoft-com:office:smarttags" w:element="PlaceType">
          <w:r w:rsidR="00401D48" w:rsidRPr="005A25D9">
            <w:t>Center</w:t>
          </w:r>
        </w:smartTag>
      </w:smartTag>
      <w:r w:rsidR="00401D48" w:rsidRPr="005A25D9">
        <w:rPr>
          <w:rStyle w:val="sb8d990e2"/>
        </w:rPr>
        <w:t>.</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48</w:t>
      </w:r>
      <w:r w:rsidRPr="005A25D9">
        <w:fldChar w:fldCharType="end"/>
      </w:r>
      <w:r w:rsidR="00F71A6A" w:rsidRPr="005A25D9">
        <w:t xml:space="preserve">.  The Government </w:t>
      </w:r>
      <w:r w:rsidR="00E4717F" w:rsidRPr="005A25D9">
        <w:t>submitted that the claim for UAH</w:t>
      </w:r>
      <w:r w:rsidR="003E0366" w:rsidRPr="005A25D9">
        <w:t xml:space="preserve"> </w:t>
      </w:r>
      <w:r w:rsidR="00E4717F" w:rsidRPr="005A25D9">
        <w:t xml:space="preserve">398.21 was not sufficiently substantiated and the claim for UAH </w:t>
      </w:r>
      <w:r w:rsidR="0026084E" w:rsidRPr="005A25D9">
        <w:t xml:space="preserve">1,000 </w:t>
      </w:r>
      <w:r w:rsidR="00E4717F" w:rsidRPr="005A25D9">
        <w:t xml:space="preserve">was not supported by any evidence. As to the </w:t>
      </w:r>
      <w:r w:rsidR="00BB1644" w:rsidRPr="005A25D9">
        <w:t xml:space="preserve">claim for EUR 8,734.55, </w:t>
      </w:r>
      <w:r w:rsidR="0026084E" w:rsidRPr="005A25D9">
        <w:t>it</w:t>
      </w:r>
      <w:r w:rsidR="00BB1644" w:rsidRPr="005A25D9">
        <w:t xml:space="preserve"> had to be rejected</w:t>
      </w:r>
      <w:r w:rsidR="006B71AA" w:rsidRPr="005A25D9">
        <w:t xml:space="preserve"> as unfounded</w:t>
      </w:r>
      <w:r w:rsidR="00BB1644" w:rsidRPr="005A25D9">
        <w:t>.</w:t>
      </w:r>
    </w:p>
    <w:p w:rsidR="00F71A6A" w:rsidRPr="005A25D9" w:rsidRDefault="00FD502B" w:rsidP="002F4BCF">
      <w:pPr>
        <w:pStyle w:val="JuPara"/>
      </w:pPr>
      <w:r w:rsidRPr="005A25D9">
        <w:fldChar w:fldCharType="begin"/>
      </w:r>
      <w:r w:rsidRPr="005A25D9">
        <w:instrText xml:space="preserve"> SEQ level0 \*arabic </w:instrText>
      </w:r>
      <w:r w:rsidRPr="005A25D9">
        <w:fldChar w:fldCharType="separate"/>
      </w:r>
      <w:r w:rsidR="00317F48">
        <w:rPr>
          <w:noProof/>
        </w:rPr>
        <w:t>49</w:t>
      </w:r>
      <w:r w:rsidRPr="005A25D9">
        <w:fldChar w:fldCharType="end"/>
      </w:r>
      <w:r w:rsidR="00F71A6A" w:rsidRPr="005A25D9">
        <w:t>.  </w:t>
      </w:r>
      <w:r w:rsidRPr="005A25D9">
        <w:t>According to the Court</w:t>
      </w:r>
      <w:r w:rsidR="00125DE6">
        <w:t>’</w:t>
      </w:r>
      <w:r w:rsidRPr="005A25D9">
        <w:t>s case-law, an applicant is entitled to the reimbursement of costs and expenses only in so far as it has been shown that these have been actually and necessarily incurred and are reasonable as to quantum. In the present case, regard</w:t>
      </w:r>
      <w:r w:rsidR="00F73D18" w:rsidRPr="005A25D9">
        <w:t xml:space="preserve"> </w:t>
      </w:r>
      <w:r w:rsidR="005F7A10" w:rsidRPr="005A25D9">
        <w:t xml:space="preserve">being had to the documents in its possession and </w:t>
      </w:r>
      <w:r w:rsidRPr="005A25D9">
        <w:t>the above criteria</w:t>
      </w:r>
      <w:r w:rsidR="00F73D18" w:rsidRPr="005A25D9">
        <w:t xml:space="preserve">, </w:t>
      </w:r>
      <w:r w:rsidR="00F71A6A" w:rsidRPr="005A25D9">
        <w:t>the Court considers it reasonable to award the sum of EUR</w:t>
      </w:r>
      <w:r w:rsidR="006B71AA" w:rsidRPr="005A25D9">
        <w:t> 3</w:t>
      </w:r>
      <w:r w:rsidR="00294C17" w:rsidRPr="005A25D9">
        <w:t>8</w:t>
      </w:r>
      <w:r w:rsidR="006B71AA" w:rsidRPr="005A25D9">
        <w:t xml:space="preserve"> in respect of postal expenses incurred by the applicant and the sum of EUR 1,000 to reimburse the fees and expenses of the applicant</w:t>
      </w:r>
      <w:r w:rsidR="00125DE6">
        <w:t>’</w:t>
      </w:r>
      <w:r w:rsidR="006B71AA" w:rsidRPr="005A25D9">
        <w:t xml:space="preserve">s lawyer. The </w:t>
      </w:r>
      <w:r w:rsidR="000C4BB6" w:rsidRPr="005A25D9">
        <w:t xml:space="preserve">latter </w:t>
      </w:r>
      <w:r w:rsidR="006B71AA" w:rsidRPr="005A25D9">
        <w:t xml:space="preserve">amount is to be paid directly into the bank </w:t>
      </w:r>
      <w:r w:rsidR="0026084E" w:rsidRPr="005A25D9">
        <w:t xml:space="preserve">account </w:t>
      </w:r>
      <w:r w:rsidR="00401D48" w:rsidRPr="005A25D9">
        <w:t xml:space="preserve">of the </w:t>
      </w:r>
      <w:smartTag w:uri="urn:schemas-microsoft-com:office:smarttags" w:element="place">
        <w:smartTag w:uri="urn:schemas-microsoft-com:office:smarttags" w:element="PlaceName">
          <w:r w:rsidR="00401D48" w:rsidRPr="005A25D9">
            <w:t>Mental</w:t>
          </w:r>
        </w:smartTag>
        <w:r w:rsidR="00401D48" w:rsidRPr="005A25D9">
          <w:t xml:space="preserve"> </w:t>
        </w:r>
        <w:smartTag w:uri="urn:schemas-microsoft-com:office:smarttags" w:element="PlaceName">
          <w:r w:rsidR="00401D48" w:rsidRPr="005A25D9">
            <w:t>Disability</w:t>
          </w:r>
        </w:smartTag>
        <w:r w:rsidR="00401D48" w:rsidRPr="005A25D9">
          <w:t xml:space="preserve"> </w:t>
        </w:r>
        <w:smartTag w:uri="urn:schemas-microsoft-com:office:smarttags" w:element="PlaceName">
          <w:r w:rsidR="00401D48" w:rsidRPr="005A25D9">
            <w:t>Advocacy</w:t>
          </w:r>
        </w:smartTag>
        <w:r w:rsidR="00401D48" w:rsidRPr="005A25D9">
          <w:t xml:space="preserve"> </w:t>
        </w:r>
        <w:smartTag w:uri="urn:schemas-microsoft-com:office:smarttags" w:element="PlaceType">
          <w:r w:rsidR="00401D48" w:rsidRPr="005A25D9">
            <w:t>Center</w:t>
          </w:r>
        </w:smartTag>
      </w:smartTag>
      <w:r w:rsidR="00401D48" w:rsidRPr="005A25D9">
        <w:t xml:space="preserve"> </w:t>
      </w:r>
      <w:r w:rsidR="006B71AA" w:rsidRPr="005A25D9">
        <w:t>(</w:t>
      </w:r>
      <w:r w:rsidR="006B71AA" w:rsidRPr="005A25D9">
        <w:rPr>
          <w:szCs w:val="24"/>
        </w:rPr>
        <w:t xml:space="preserve">see, for example, </w:t>
      </w:r>
      <w:r w:rsidR="006B71AA" w:rsidRPr="005A25D9">
        <w:rPr>
          <w:i/>
          <w:szCs w:val="22"/>
          <w:lang w:eastAsia="en-US"/>
        </w:rPr>
        <w:t xml:space="preserve">Hristovi </w:t>
      </w:r>
      <w:r w:rsidR="006B71AA" w:rsidRPr="005A25D9">
        <w:rPr>
          <w:i/>
          <w:lang w:eastAsia="en-US"/>
        </w:rPr>
        <w:t>v. Bulgaria</w:t>
      </w:r>
      <w:r w:rsidR="006B71AA" w:rsidRPr="005A25D9">
        <w:rPr>
          <w:lang w:eastAsia="en-US"/>
        </w:rPr>
        <w:t>, no. 42697/05</w:t>
      </w:r>
      <w:r w:rsidR="006B71AA" w:rsidRPr="005A25D9">
        <w:rPr>
          <w:snapToGrid w:val="0"/>
          <w:lang w:eastAsia="en-US"/>
        </w:rPr>
        <w:t xml:space="preserve">, § 109, 11 October 2011, and </w:t>
      </w:r>
      <w:r w:rsidR="006B71AA" w:rsidRPr="005A25D9">
        <w:rPr>
          <w:i/>
          <w:lang w:eastAsia="en-US"/>
        </w:rPr>
        <w:t>Singartiyski and Others v. Bulgaria</w:t>
      </w:r>
      <w:r w:rsidR="006B71AA" w:rsidRPr="005A25D9">
        <w:rPr>
          <w:lang w:eastAsia="en-US"/>
        </w:rPr>
        <w:t>, no. 48284/07</w:t>
      </w:r>
      <w:r w:rsidR="006B71AA" w:rsidRPr="005A25D9">
        <w:rPr>
          <w:snapToGrid w:val="0"/>
          <w:lang w:eastAsia="en-US"/>
        </w:rPr>
        <w:t>, § 54, 18 October 2011).</w:t>
      </w:r>
    </w:p>
    <w:p w:rsidR="00F71A6A" w:rsidRPr="005A25D9" w:rsidRDefault="00F71A6A" w:rsidP="008824B9">
      <w:pPr>
        <w:pStyle w:val="JuHA"/>
        <w:outlineLvl w:val="0"/>
      </w:pPr>
      <w:r w:rsidRPr="005A25D9">
        <w:t>C.  Default interest</w:t>
      </w:r>
    </w:p>
    <w:p w:rsidR="00F71A6A" w:rsidRPr="005A25D9" w:rsidRDefault="00FD502B" w:rsidP="00151CCA">
      <w:pPr>
        <w:pStyle w:val="JuPara"/>
      </w:pPr>
      <w:r w:rsidRPr="005A25D9">
        <w:fldChar w:fldCharType="begin"/>
      </w:r>
      <w:r w:rsidRPr="005A25D9">
        <w:instrText xml:space="preserve"> SEQ level0 \*arabic </w:instrText>
      </w:r>
      <w:r w:rsidRPr="005A25D9">
        <w:fldChar w:fldCharType="separate"/>
      </w:r>
      <w:r w:rsidR="00317F48">
        <w:rPr>
          <w:noProof/>
        </w:rPr>
        <w:t>50</w:t>
      </w:r>
      <w:r w:rsidRPr="005A25D9">
        <w:fldChar w:fldCharType="end"/>
      </w:r>
      <w:r w:rsidR="00F71A6A" w:rsidRPr="005A25D9">
        <w:t xml:space="preserve">.  The Court considers it appropriate that the default interest </w:t>
      </w:r>
      <w:r w:rsidR="0034580F" w:rsidRPr="005A25D9">
        <w:t xml:space="preserve">rate </w:t>
      </w:r>
      <w:r w:rsidR="00F71A6A" w:rsidRPr="005A25D9">
        <w:t>should be based on the marginal lending rate of the European Central Bank, to which should be added three percentage points.</w:t>
      </w:r>
    </w:p>
    <w:p w:rsidR="00F71A6A" w:rsidRPr="005A25D9" w:rsidRDefault="00F71A6A" w:rsidP="008824B9">
      <w:pPr>
        <w:pStyle w:val="JuHHead"/>
      </w:pPr>
      <w:r w:rsidRPr="005A25D9">
        <w:t xml:space="preserve">FOR THESE REASONS, THE COURT </w:t>
      </w:r>
      <w:r w:rsidR="00FD502B" w:rsidRPr="005A25D9">
        <w:t>UNANIMOUSLY</w:t>
      </w:r>
    </w:p>
    <w:p w:rsidR="00F71A6A" w:rsidRPr="005A25D9" w:rsidRDefault="00401D48">
      <w:pPr>
        <w:pStyle w:val="JuList"/>
      </w:pPr>
      <w:r w:rsidRPr="005A25D9">
        <w:t>1</w:t>
      </w:r>
      <w:r w:rsidR="009F07CC" w:rsidRPr="005A25D9">
        <w:t>.  </w:t>
      </w:r>
      <w:r w:rsidR="00F71A6A" w:rsidRPr="005A25D9">
        <w:rPr>
          <w:i/>
        </w:rPr>
        <w:t>Declares</w:t>
      </w:r>
      <w:r w:rsidR="00F71A6A" w:rsidRPr="005A25D9">
        <w:t xml:space="preserve"> the</w:t>
      </w:r>
      <w:r w:rsidR="00777851" w:rsidRPr="005A25D9">
        <w:t xml:space="preserve"> applica</w:t>
      </w:r>
      <w:r w:rsidR="006D5F31" w:rsidRPr="005A25D9">
        <w:t xml:space="preserve">tion </w:t>
      </w:r>
      <w:r w:rsidR="00F71A6A" w:rsidRPr="005A25D9">
        <w:t>admissible</w:t>
      </w:r>
      <w:r w:rsidR="0011665B" w:rsidRPr="005A25D9">
        <w:t>;</w:t>
      </w:r>
    </w:p>
    <w:p w:rsidR="00F71A6A" w:rsidRPr="005A25D9" w:rsidRDefault="00F71A6A">
      <w:pPr>
        <w:pStyle w:val="JuList"/>
      </w:pPr>
    </w:p>
    <w:p w:rsidR="009F07CC" w:rsidRPr="005A25D9" w:rsidRDefault="00401D48" w:rsidP="009F07CC">
      <w:pPr>
        <w:pStyle w:val="JuList"/>
      </w:pPr>
      <w:r w:rsidRPr="005A25D9">
        <w:t>2</w:t>
      </w:r>
      <w:r w:rsidR="009F07CC" w:rsidRPr="005A25D9">
        <w:t>.</w:t>
      </w:r>
      <w:r w:rsidR="00F71A6A" w:rsidRPr="005A25D9">
        <w:t>  </w:t>
      </w:r>
      <w:r w:rsidR="00F71A6A" w:rsidRPr="005A25D9">
        <w:rPr>
          <w:i/>
        </w:rPr>
        <w:t>Holds</w:t>
      </w:r>
      <w:r w:rsidR="00F71A6A" w:rsidRPr="005A25D9">
        <w:t xml:space="preserve"> that there has been a violation of Article </w:t>
      </w:r>
      <w:r w:rsidRPr="005A25D9">
        <w:t>6</w:t>
      </w:r>
      <w:r w:rsidR="00882C33" w:rsidRPr="005A25D9">
        <w:t xml:space="preserve"> </w:t>
      </w:r>
      <w:r w:rsidRPr="005A25D9">
        <w:t>§</w:t>
      </w:r>
      <w:r w:rsidR="00882C33" w:rsidRPr="005A25D9">
        <w:t xml:space="preserve"> </w:t>
      </w:r>
      <w:r w:rsidRPr="005A25D9">
        <w:t>1</w:t>
      </w:r>
      <w:r w:rsidR="00F71A6A" w:rsidRPr="005A25D9">
        <w:t xml:space="preserve"> of the Convention;</w:t>
      </w:r>
    </w:p>
    <w:p w:rsidR="00F71A6A" w:rsidRPr="005A25D9" w:rsidRDefault="00F71A6A">
      <w:pPr>
        <w:pStyle w:val="JuList"/>
      </w:pPr>
    </w:p>
    <w:p w:rsidR="00F71A6A" w:rsidRPr="005A25D9" w:rsidRDefault="00DE6509">
      <w:pPr>
        <w:pStyle w:val="JuList"/>
      </w:pPr>
      <w:r w:rsidRPr="005A25D9">
        <w:t>3</w:t>
      </w:r>
      <w:r w:rsidR="00F71A6A" w:rsidRPr="005A25D9">
        <w:t>.  </w:t>
      </w:r>
      <w:r w:rsidR="00F71A6A" w:rsidRPr="005A25D9">
        <w:rPr>
          <w:i/>
        </w:rPr>
        <w:t>Holds</w:t>
      </w:r>
      <w:r w:rsidR="00F71A6A" w:rsidRPr="005A25D9">
        <w:t xml:space="preserve"> that there is no need to examine the complaint under Article </w:t>
      </w:r>
      <w:r w:rsidR="00401D48" w:rsidRPr="005A25D9">
        <w:t>14</w:t>
      </w:r>
      <w:r w:rsidR="00F71A6A" w:rsidRPr="005A25D9">
        <w:t xml:space="preserve"> of the Convention;</w:t>
      </w:r>
    </w:p>
    <w:p w:rsidR="00F71A6A" w:rsidRPr="005A25D9" w:rsidRDefault="00F71A6A">
      <w:pPr>
        <w:pStyle w:val="JuList"/>
      </w:pPr>
    </w:p>
    <w:p w:rsidR="003104E9" w:rsidRPr="005A25D9" w:rsidRDefault="00DE6509" w:rsidP="00901475">
      <w:pPr>
        <w:pStyle w:val="JuList"/>
      </w:pPr>
      <w:r w:rsidRPr="005A25D9">
        <w:t>4</w:t>
      </w:r>
      <w:r w:rsidR="00F71A6A" w:rsidRPr="005A25D9">
        <w:t>.  </w:t>
      </w:r>
      <w:r w:rsidR="00F71A6A" w:rsidRPr="005A25D9">
        <w:rPr>
          <w:i/>
        </w:rPr>
        <w:t>Holds</w:t>
      </w:r>
    </w:p>
    <w:p w:rsidR="003104E9" w:rsidRPr="005A25D9" w:rsidRDefault="003104E9" w:rsidP="006138EA">
      <w:pPr>
        <w:pStyle w:val="JuLista"/>
      </w:pPr>
      <w:r w:rsidRPr="005A25D9">
        <w:t xml:space="preserve">(a)  that the respondent State is to </w:t>
      </w:r>
      <w:r w:rsidR="00901475" w:rsidRPr="005A25D9">
        <w:t xml:space="preserve">pay </w:t>
      </w:r>
      <w:r w:rsidRPr="005A25D9">
        <w:t xml:space="preserve">the </w:t>
      </w:r>
      <w:r w:rsidR="0005522C" w:rsidRPr="005A25D9">
        <w:t>applicant</w:t>
      </w:r>
      <w:smartTag w:uri="urn:schemas-microsoft-com:office:smarttags" w:element="PersonName">
        <w:r w:rsidRPr="005A25D9">
          <w:t>,</w:t>
        </w:r>
      </w:smartTag>
      <w:r w:rsidRPr="005A25D9">
        <w:t xml:space="preserve"> within three months </w:t>
      </w:r>
      <w:r w:rsidR="00FD502B" w:rsidRPr="005A25D9">
        <w:t>from the date on which the judgment becomes final in accordance with Article 44 § 2 of the Convention,</w:t>
      </w:r>
      <w:r w:rsidRPr="005A25D9">
        <w:t xml:space="preserve"> the following amounts, to be converted into </w:t>
      </w:r>
      <w:r w:rsidR="006138EA" w:rsidRPr="005A25D9">
        <w:rPr>
          <w:color w:val="000000"/>
        </w:rPr>
        <w:t>the currency of the respondent State</w:t>
      </w:r>
      <w:r w:rsidR="006138EA" w:rsidRPr="005A25D9">
        <w:t xml:space="preserve"> </w:t>
      </w:r>
      <w:r w:rsidRPr="005A25D9">
        <w:t>at the rate applicable at the date of settlement:</w:t>
      </w:r>
    </w:p>
    <w:p w:rsidR="003104E9" w:rsidRPr="005A25D9" w:rsidRDefault="003104E9" w:rsidP="003104E9">
      <w:pPr>
        <w:pStyle w:val="JuListi"/>
      </w:pPr>
      <w:r w:rsidRPr="005A25D9">
        <w:t xml:space="preserve">(i)  EUR </w:t>
      </w:r>
      <w:r w:rsidR="00294C17" w:rsidRPr="005A25D9">
        <w:t>3,600</w:t>
      </w:r>
      <w:r w:rsidRPr="005A25D9">
        <w:t xml:space="preserve"> (</w:t>
      </w:r>
      <w:r w:rsidR="00294C17" w:rsidRPr="005A25D9">
        <w:t>three thousand six hundred euros)</w:t>
      </w:r>
      <w:r w:rsidRPr="005A25D9">
        <w:t>, plus any tax that may be chargeable,</w:t>
      </w:r>
      <w:r w:rsidR="00294C17" w:rsidRPr="005A25D9">
        <w:t xml:space="preserve"> </w:t>
      </w:r>
      <w:r w:rsidRPr="005A25D9">
        <w:t xml:space="preserve">in respect of </w:t>
      </w:r>
      <w:r w:rsidR="00294C17" w:rsidRPr="005A25D9">
        <w:t>non-</w:t>
      </w:r>
      <w:r w:rsidRPr="005A25D9">
        <w:t>pecuniary damage;</w:t>
      </w:r>
    </w:p>
    <w:p w:rsidR="003104E9" w:rsidRPr="005A25D9" w:rsidRDefault="003104E9" w:rsidP="003104E9">
      <w:pPr>
        <w:pStyle w:val="JuListi"/>
      </w:pPr>
      <w:r w:rsidRPr="005A25D9">
        <w:t xml:space="preserve">(ii)  EUR </w:t>
      </w:r>
      <w:r w:rsidR="00294C17" w:rsidRPr="005A25D9">
        <w:t>38</w:t>
      </w:r>
      <w:r w:rsidRPr="005A25D9">
        <w:t xml:space="preserve"> (</w:t>
      </w:r>
      <w:r w:rsidR="00294C17" w:rsidRPr="005A25D9">
        <w:t>thirty-eight</w:t>
      </w:r>
      <w:r w:rsidRPr="005A25D9">
        <w:t xml:space="preserve"> euros), plus any tax that may be chargeable, in respect of </w:t>
      </w:r>
      <w:r w:rsidR="00294C17" w:rsidRPr="005A25D9">
        <w:t>postal expenses</w:t>
      </w:r>
      <w:r w:rsidRPr="005A25D9">
        <w:t>;</w:t>
      </w:r>
    </w:p>
    <w:p w:rsidR="003104E9" w:rsidRPr="005A25D9" w:rsidRDefault="003104E9" w:rsidP="003104E9">
      <w:pPr>
        <w:pStyle w:val="JuListi"/>
      </w:pPr>
      <w:r w:rsidRPr="005A25D9">
        <w:t xml:space="preserve">(iii)  EUR </w:t>
      </w:r>
      <w:r w:rsidR="000C4BB6" w:rsidRPr="005A25D9">
        <w:t>1,000</w:t>
      </w:r>
      <w:r w:rsidRPr="005A25D9">
        <w:t xml:space="preserve"> (</w:t>
      </w:r>
      <w:r w:rsidR="000C4BB6" w:rsidRPr="005A25D9">
        <w:t>one thousand</w:t>
      </w:r>
      <w:r w:rsidRPr="005A25D9">
        <w:t xml:space="preserve"> euros),</w:t>
      </w:r>
      <w:r w:rsidR="000C4BB6" w:rsidRPr="005A25D9">
        <w:t xml:space="preserve"> plus any tax that may be chargeable</w:t>
      </w:r>
      <w:r w:rsidR="00E87C3C" w:rsidRPr="005A25D9">
        <w:t xml:space="preserve"> to the applicant</w:t>
      </w:r>
      <w:r w:rsidR="000C4BB6" w:rsidRPr="005A25D9">
        <w:t xml:space="preserve">, in respect of costs and expenses, to be paid into the bank account of </w:t>
      </w:r>
      <w:smartTag w:uri="urn:schemas-microsoft-com:office:smarttags" w:element="place">
        <w:smartTag w:uri="urn:schemas-microsoft-com:office:smarttags" w:element="PlaceName">
          <w:r w:rsidR="000C4BB6" w:rsidRPr="005A25D9">
            <w:t>Mental</w:t>
          </w:r>
        </w:smartTag>
        <w:r w:rsidR="000C4BB6" w:rsidRPr="005A25D9">
          <w:t xml:space="preserve"> </w:t>
        </w:r>
        <w:smartTag w:uri="urn:schemas-microsoft-com:office:smarttags" w:element="PlaceName">
          <w:r w:rsidR="000C4BB6" w:rsidRPr="005A25D9">
            <w:t>Disability</w:t>
          </w:r>
        </w:smartTag>
        <w:r w:rsidR="000C4BB6" w:rsidRPr="005A25D9">
          <w:t xml:space="preserve"> </w:t>
        </w:r>
        <w:smartTag w:uri="urn:schemas-microsoft-com:office:smarttags" w:element="PlaceName">
          <w:r w:rsidR="000C4BB6" w:rsidRPr="005A25D9">
            <w:t>Advocacy</w:t>
          </w:r>
        </w:smartTag>
        <w:r w:rsidR="000C4BB6" w:rsidRPr="005A25D9">
          <w:t xml:space="preserve"> </w:t>
        </w:r>
        <w:smartTag w:uri="urn:schemas-microsoft-com:office:smarttags" w:element="PlaceType">
          <w:r w:rsidR="000C4BB6" w:rsidRPr="005A25D9">
            <w:t>Center</w:t>
          </w:r>
        </w:smartTag>
      </w:smartTag>
      <w:r w:rsidRPr="005A25D9">
        <w:t>;</w:t>
      </w:r>
    </w:p>
    <w:p w:rsidR="003104E9" w:rsidRPr="005A25D9" w:rsidRDefault="003104E9">
      <w:pPr>
        <w:pStyle w:val="JuLista"/>
      </w:pPr>
      <w:r w:rsidRPr="005A25D9">
        <w:t>(b)  that from the expiry of the above-mentioned three months until settlement simple interest shall be payable on the above amounts at a rate equal to the marginal lending rate of the European Central Bank during the default period plus three percentage points;</w:t>
      </w:r>
    </w:p>
    <w:p w:rsidR="00F71A6A" w:rsidRPr="005A25D9" w:rsidRDefault="00F71A6A">
      <w:pPr>
        <w:pStyle w:val="JuList"/>
      </w:pPr>
    </w:p>
    <w:p w:rsidR="00F71A6A" w:rsidRPr="005A25D9" w:rsidRDefault="00DE6509">
      <w:pPr>
        <w:pStyle w:val="JuList"/>
      </w:pPr>
      <w:r w:rsidRPr="005A25D9">
        <w:t>5</w:t>
      </w:r>
      <w:r w:rsidR="00F71A6A" w:rsidRPr="005A25D9">
        <w:t>.  </w:t>
      </w:r>
      <w:r w:rsidR="00F71A6A" w:rsidRPr="005A25D9">
        <w:rPr>
          <w:i/>
        </w:rPr>
        <w:t>Dismisses</w:t>
      </w:r>
      <w:r w:rsidR="00F71A6A" w:rsidRPr="005A25D9">
        <w:t xml:space="preserve"> the remainder of the </w:t>
      </w:r>
      <w:r w:rsidR="005F4753" w:rsidRPr="005A25D9">
        <w:t>applicant</w:t>
      </w:r>
      <w:r w:rsidR="00125DE6">
        <w:t>’</w:t>
      </w:r>
      <w:r w:rsidR="00FD502B" w:rsidRPr="005A25D9">
        <w:t>s</w:t>
      </w:r>
      <w:r w:rsidR="00F71A6A" w:rsidRPr="005A25D9">
        <w:t xml:space="preserve"> claim for just satisfaction.</w:t>
      </w:r>
    </w:p>
    <w:p w:rsidR="00325C2B" w:rsidRPr="005A25D9" w:rsidRDefault="00F71A6A" w:rsidP="00325C2B">
      <w:pPr>
        <w:pStyle w:val="JuParaLast"/>
      </w:pPr>
      <w:r w:rsidRPr="005A25D9">
        <w:t xml:space="preserve">Done in English, and notified in writing on </w:t>
      </w:r>
      <w:r w:rsidR="005A25D9" w:rsidRPr="005A25D9">
        <w:t>30 May 2013</w:t>
      </w:r>
      <w:r w:rsidRPr="005A25D9">
        <w:t>, pursuant to Rule</w:t>
      </w:r>
      <w:r w:rsidR="0011665B" w:rsidRPr="005A25D9">
        <w:t xml:space="preserve"> </w:t>
      </w:r>
      <w:r w:rsidRPr="005A25D9">
        <w:t>77</w:t>
      </w:r>
      <w:r w:rsidR="0011665B" w:rsidRPr="005A25D9">
        <w:t xml:space="preserve"> </w:t>
      </w:r>
      <w:r w:rsidRPr="005A25D9">
        <w:t>§§</w:t>
      </w:r>
      <w:r w:rsidR="0011665B" w:rsidRPr="005A25D9">
        <w:t xml:space="preserve"> </w:t>
      </w:r>
      <w:r w:rsidRPr="005A25D9">
        <w:t>2 and</w:t>
      </w:r>
      <w:r w:rsidR="0011665B" w:rsidRPr="005A25D9">
        <w:t xml:space="preserve"> </w:t>
      </w:r>
      <w:r w:rsidRPr="005A25D9">
        <w:t>3 of the Rules of Court.</w:t>
      </w:r>
    </w:p>
    <w:p w:rsidR="0079187F" w:rsidRDefault="00325C2B" w:rsidP="00C01E1C">
      <w:pPr>
        <w:pStyle w:val="JuSigned"/>
        <w:keepNext/>
        <w:keepLines/>
      </w:pPr>
      <w:r w:rsidRPr="005A25D9">
        <w:tab/>
      </w:r>
      <w:r w:rsidR="00806A0E">
        <w:t>Stephen Phillips</w:t>
      </w:r>
      <w:r w:rsidR="00A8381C" w:rsidRPr="005A25D9">
        <w:tab/>
      </w:r>
      <w:r w:rsidR="00FD502B" w:rsidRPr="005A25D9">
        <w:rPr>
          <w:szCs w:val="24"/>
        </w:rPr>
        <w:t>Mark Villiger</w:t>
      </w:r>
      <w:r w:rsidR="00BB2BF7">
        <w:rPr>
          <w:szCs w:val="24"/>
        </w:rPr>
        <w:br/>
      </w:r>
      <w:r w:rsidR="00A8381C" w:rsidRPr="005A25D9">
        <w:tab/>
      </w:r>
      <w:r w:rsidR="00806A0E">
        <w:t xml:space="preserve">Deputy </w:t>
      </w:r>
      <w:r w:rsidR="00FD502B" w:rsidRPr="005A25D9">
        <w:rPr>
          <w:iCs/>
        </w:rPr>
        <w:t>Registrar</w:t>
      </w:r>
      <w:r w:rsidR="00A8381C" w:rsidRPr="005A25D9">
        <w:tab/>
        <w:t>President</w:t>
      </w:r>
    </w:p>
    <w:p w:rsidR="00A1702E" w:rsidRPr="00A1702E" w:rsidRDefault="00A1702E" w:rsidP="00A1702E">
      <w:pPr>
        <w:pStyle w:val="JuParaLast"/>
      </w:pPr>
    </w:p>
    <w:p w:rsidR="00467D46" w:rsidRPr="0025646D" w:rsidRDefault="00467D46">
      <w:pPr>
        <w:pStyle w:val="JuParaLast"/>
      </w:pPr>
      <w:r w:rsidRPr="0025646D">
        <w:t xml:space="preserve">In accordance with Article 45 § 2 of the Convention and Rule 74 § 2 of the Rules of Court, the separate opinion of Judge </w:t>
      </w:r>
      <w:r w:rsidR="009A406E">
        <w:t>P. Lemmens</w:t>
      </w:r>
      <w:r w:rsidRPr="0025646D">
        <w:t xml:space="preserve"> is annexed to this judgment.</w:t>
      </w:r>
    </w:p>
    <w:p w:rsidR="00096FE9" w:rsidRDefault="00467D46" w:rsidP="009A406E">
      <w:pPr>
        <w:pStyle w:val="JuInitialled"/>
      </w:pPr>
      <w:r>
        <w:t>M.V.</w:t>
      </w:r>
      <w:r w:rsidRPr="0025646D">
        <w:br/>
      </w:r>
      <w:r w:rsidR="0066741F">
        <w:t>J.</w:t>
      </w:r>
      <w:r w:rsidR="00806A0E">
        <w:t>S.P</w:t>
      </w:r>
      <w:r>
        <w:t>.</w:t>
      </w:r>
    </w:p>
    <w:p w:rsidR="0015731F" w:rsidRDefault="0015731F" w:rsidP="00FD103D">
      <w:pPr>
        <w:pStyle w:val="OpiHHead"/>
        <w:sectPr w:rsidR="0015731F" w:rsidSect="002B152E">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pPr>
    </w:p>
    <w:p w:rsidR="00FD103D" w:rsidRPr="00A24349" w:rsidRDefault="00FD103D" w:rsidP="00FD103D">
      <w:pPr>
        <w:pStyle w:val="OpiHHead"/>
      </w:pPr>
      <w:r>
        <w:t>CONCURRING</w:t>
      </w:r>
      <w:r w:rsidRPr="00A24349">
        <w:t xml:space="preserve"> OPINION OF JUDGE </w:t>
      </w:r>
      <w:r>
        <w:t>LEMMENS</w:t>
      </w:r>
    </w:p>
    <w:p w:rsidR="00FD103D" w:rsidRPr="00963F47" w:rsidRDefault="00FD103D" w:rsidP="00FD103D">
      <w:pPr>
        <w:pStyle w:val="opipara0"/>
        <w:spacing w:before="0" w:beforeAutospacing="0" w:after="0" w:afterAutospacing="0"/>
        <w:jc w:val="both"/>
        <w:rPr>
          <w:rFonts w:ascii="Arial" w:hAnsi="Arial" w:cs="Arial"/>
          <w:sz w:val="20"/>
          <w:szCs w:val="20"/>
        </w:rPr>
      </w:pPr>
      <w:r w:rsidRPr="00963F47">
        <w:t>1.</w:t>
      </w:r>
      <w:r>
        <w:t>  </w:t>
      </w:r>
      <w:r w:rsidRPr="00963F47">
        <w:t>I agree with the conclusion that there has been a violation of Article 6 § 1 of the Convention, but I would prefer to base that conclusion on a more narrow reasoning.</w:t>
      </w:r>
    </w:p>
    <w:p w:rsidR="00FD103D" w:rsidRPr="00963F47" w:rsidRDefault="00FD103D" w:rsidP="00FD103D">
      <w:pPr>
        <w:pStyle w:val="opipara0"/>
        <w:spacing w:before="0" w:beforeAutospacing="0" w:after="0" w:afterAutospacing="0"/>
        <w:jc w:val="both"/>
        <w:rPr>
          <w:rFonts w:ascii="Arial" w:hAnsi="Arial" w:cs="Arial"/>
          <w:sz w:val="20"/>
          <w:szCs w:val="20"/>
        </w:rPr>
      </w:pPr>
    </w:p>
    <w:p w:rsidR="00FD103D" w:rsidRPr="00963F47" w:rsidRDefault="00FD103D" w:rsidP="00FD103D">
      <w:pPr>
        <w:pStyle w:val="opipara0"/>
        <w:spacing w:before="0" w:beforeAutospacing="0" w:after="0" w:afterAutospacing="0"/>
        <w:jc w:val="both"/>
        <w:rPr>
          <w:rFonts w:ascii="Arial" w:hAnsi="Arial" w:cs="Arial"/>
          <w:sz w:val="20"/>
          <w:szCs w:val="20"/>
        </w:rPr>
      </w:pPr>
      <w:r w:rsidRPr="00963F47">
        <w:t>Although the applicant states that her complaint refers to a “continuing situation created as a result of the domestic legislation” (paragraph 23), the application of that legislation has resulted in the judicial determination of a concrete claim. I</w:t>
      </w:r>
      <w:r w:rsidRPr="00963F47">
        <w:rPr>
          <w:rStyle w:val="wordhighlightedcurrentterm0"/>
        </w:rPr>
        <w:t>n cases arising from individual petitions</w:t>
      </w:r>
      <w:r w:rsidRPr="00963F47">
        <w:rPr>
          <w:rStyle w:val="sb8d990e2"/>
        </w:rPr>
        <w:t xml:space="preserve"> the Court</w:t>
      </w:r>
      <w:r w:rsidR="00125DE6">
        <w:rPr>
          <w:rStyle w:val="sb8d990e2"/>
        </w:rPr>
        <w:t>’</w:t>
      </w:r>
      <w:r w:rsidRPr="00963F47">
        <w:rPr>
          <w:rStyle w:val="sb8d990e2"/>
        </w:rPr>
        <w:t xml:space="preserve">s task is not to review the relevant legislation in the abstract. Instead, it must confine itself, as far as possible, to examining the issues raised by the case before it (see, </w:t>
      </w:r>
      <w:r w:rsidRPr="00963F47">
        <w:rPr>
          <w:rStyle w:val="s6b621b36"/>
        </w:rPr>
        <w:t>for a recent authority</w:t>
      </w:r>
      <w:r w:rsidRPr="00963F47">
        <w:rPr>
          <w:rStyle w:val="sb8d990e2"/>
        </w:rPr>
        <w:t xml:space="preserve">, </w:t>
      </w:r>
      <w:r w:rsidRPr="00963F47">
        <w:rPr>
          <w:rStyle w:val="s6b621b36"/>
          <w:i/>
        </w:rPr>
        <w:t>Kotov v. Russia</w:t>
      </w:r>
      <w:r w:rsidRPr="00963F47">
        <w:rPr>
          <w:rStyle w:val="sb8d990e2"/>
        </w:rPr>
        <w:t xml:space="preserve"> [GC], no. 54522/00, § 130, 3</w:t>
      </w:r>
      <w:r>
        <w:rPr>
          <w:rStyle w:val="sb8d990e2"/>
        </w:rPr>
        <w:t> </w:t>
      </w:r>
      <w:r w:rsidRPr="00963F47">
        <w:rPr>
          <w:rStyle w:val="sb8d990e2"/>
        </w:rPr>
        <w:t>April 2012).</w:t>
      </w:r>
      <w:r w:rsidRPr="00963F47">
        <w:t xml:space="preserve"> If we are to take subsidiarity seriously, it is, in my opinion, the decisions of the courts, in particular those of the court of appeal and the Court of Cassation, which should be the starting point of this Court</w:t>
      </w:r>
      <w:r w:rsidR="00125DE6">
        <w:t>’</w:t>
      </w:r>
      <w:r w:rsidRPr="00963F47">
        <w:t>s review.</w:t>
      </w:r>
    </w:p>
    <w:p w:rsidR="00FD103D" w:rsidRPr="00963F47" w:rsidRDefault="00FD103D" w:rsidP="00FD103D">
      <w:pPr>
        <w:pStyle w:val="opipara0"/>
        <w:spacing w:before="0" w:beforeAutospacing="0" w:after="0" w:afterAutospacing="0"/>
        <w:jc w:val="both"/>
        <w:rPr>
          <w:rFonts w:ascii="Arial" w:hAnsi="Arial" w:cs="Arial"/>
          <w:sz w:val="20"/>
          <w:szCs w:val="20"/>
        </w:rPr>
      </w:pPr>
    </w:p>
    <w:p w:rsidR="00FD103D" w:rsidRPr="00963F47" w:rsidRDefault="00FD103D" w:rsidP="00FD103D">
      <w:pPr>
        <w:pStyle w:val="opipara0"/>
        <w:spacing w:before="0" w:beforeAutospacing="0" w:after="0" w:afterAutospacing="0"/>
        <w:jc w:val="both"/>
        <w:rPr>
          <w:rFonts w:ascii="Arial" w:hAnsi="Arial" w:cs="Arial"/>
          <w:sz w:val="20"/>
          <w:szCs w:val="20"/>
        </w:rPr>
      </w:pPr>
      <w:r w:rsidRPr="00963F47">
        <w:t>2.</w:t>
      </w:r>
      <w:r>
        <w:t>  </w:t>
      </w:r>
      <w:r w:rsidRPr="00963F47">
        <w:t>On the basis of that approach, the Government</w:t>
      </w:r>
      <w:r w:rsidR="00125DE6">
        <w:t>’</w:t>
      </w:r>
      <w:r w:rsidRPr="00963F47">
        <w:t>s objection based on the six-month rule should be answered differently than the majority does in paragraphs 24-25. The majority rejects the objection on the ground “that the applicant</w:t>
      </w:r>
      <w:r w:rsidR="00125DE6">
        <w:t>’</w:t>
      </w:r>
      <w:r w:rsidRPr="00963F47">
        <w:t xml:space="preserve">s complaint concerned a continuing situation which did not come to an end as a result of her unsuccessful attempt to secure access to a court”. In my opinion, the reason for rejecting the objection should be that the final decision in her case was delivered </w:t>
      </w:r>
      <w:r>
        <w:t>by the Court of Cassation on 12 </w:t>
      </w:r>
      <w:r w:rsidRPr="00963F47">
        <w:t>March</w:t>
      </w:r>
      <w:r>
        <w:t> </w:t>
      </w:r>
      <w:r w:rsidRPr="00963F47">
        <w:t>2011, and that therefore the application, filed on 29 July 2011, was within the six-month time-limit.</w:t>
      </w:r>
    </w:p>
    <w:p w:rsidR="00FD103D" w:rsidRPr="00963F47" w:rsidRDefault="00FD103D" w:rsidP="00FD103D">
      <w:pPr>
        <w:pStyle w:val="opipara0"/>
        <w:spacing w:before="0" w:beforeAutospacing="0" w:after="0" w:afterAutospacing="0"/>
        <w:jc w:val="both"/>
        <w:rPr>
          <w:rFonts w:ascii="Arial" w:hAnsi="Arial" w:cs="Arial"/>
          <w:sz w:val="20"/>
          <w:szCs w:val="20"/>
        </w:rPr>
      </w:pPr>
    </w:p>
    <w:p w:rsidR="00FD103D" w:rsidRPr="00963F47" w:rsidRDefault="00FD103D" w:rsidP="00FD103D">
      <w:pPr>
        <w:pStyle w:val="opipara0"/>
        <w:spacing w:before="0" w:beforeAutospacing="0" w:after="0" w:afterAutospacing="0"/>
        <w:jc w:val="both"/>
      </w:pPr>
      <w:r w:rsidRPr="00963F47">
        <w:t>3.</w:t>
      </w:r>
      <w:r>
        <w:t>  </w:t>
      </w:r>
      <w:r w:rsidRPr="00963F47">
        <w:t>As a result of this interpretation, there are further a number of paragraphs that I would prefer to draft with closer reference to the judgments handed down in the applicant</w:t>
      </w:r>
      <w:r w:rsidR="00125DE6">
        <w:t>’</w:t>
      </w:r>
      <w:r w:rsidRPr="00963F47">
        <w:t>s case, in light of my more limited understanding of the object of the complaint.</w:t>
      </w:r>
    </w:p>
    <w:p w:rsidR="00FD103D" w:rsidRPr="00963F47" w:rsidRDefault="00FD103D" w:rsidP="00FD103D">
      <w:pPr>
        <w:pStyle w:val="opipara0"/>
        <w:spacing w:before="0" w:beforeAutospacing="0" w:after="0" w:afterAutospacing="0"/>
        <w:jc w:val="both"/>
      </w:pPr>
    </w:p>
    <w:p w:rsidR="00FD103D" w:rsidRPr="00963F47" w:rsidRDefault="00FD103D" w:rsidP="00FD103D">
      <w:pPr>
        <w:pStyle w:val="opipara0"/>
        <w:spacing w:before="0" w:beforeAutospacing="0" w:after="0" w:afterAutospacing="0"/>
        <w:jc w:val="both"/>
        <w:rPr>
          <w:rFonts w:ascii="Arial" w:hAnsi="Arial" w:cs="Arial"/>
          <w:sz w:val="20"/>
          <w:szCs w:val="20"/>
        </w:rPr>
      </w:pPr>
      <w:r w:rsidRPr="00963F47">
        <w:t>I should add that I agree with the majority that the general character of the prohibition on direct access to a court and the absence of any regular review by a court at reasonable intervals of the applicant</w:t>
      </w:r>
      <w:r w:rsidR="00125DE6">
        <w:t>’</w:t>
      </w:r>
      <w:r w:rsidRPr="00963F47">
        <w:t>s legal capacity (or other procedural safeguards) (see paragraph 39) are indicative of the disproportionate character of the restriction applied in the applicant</w:t>
      </w:r>
      <w:r w:rsidR="00125DE6">
        <w:t>’</w:t>
      </w:r>
      <w:r w:rsidRPr="00963F47">
        <w:t>s case, as they result in the restriction being absolute and of indefinite duration.</w:t>
      </w:r>
    </w:p>
    <w:p w:rsidR="00FD103D" w:rsidRPr="00963F47" w:rsidRDefault="00FD103D" w:rsidP="00FD103D">
      <w:pPr>
        <w:suppressAutoHyphens w:val="0"/>
        <w:autoSpaceDE w:val="0"/>
        <w:autoSpaceDN w:val="0"/>
        <w:adjustRightInd w:val="0"/>
        <w:rPr>
          <w:szCs w:val="24"/>
          <w:lang w:eastAsia="en-GB"/>
        </w:rPr>
      </w:pPr>
    </w:p>
    <w:sectPr w:rsidR="00FD103D" w:rsidRPr="00963F47" w:rsidSect="00A1702E">
      <w:headerReference w:type="default" r:id="rId15"/>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DB9" w:rsidRDefault="00625DB9">
      <w:r>
        <w:separator/>
      </w:r>
    </w:p>
  </w:endnote>
  <w:endnote w:type="continuationSeparator" w:id="0">
    <w:p w:rsidR="00625DB9" w:rsidRDefault="0062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E" w:rsidRPr="00150BFA" w:rsidRDefault="00317F48" w:rsidP="00A1702E">
    <w:pPr>
      <w:jc w:val="center"/>
      <w:rPr>
        <w:sz w:val="4"/>
        <w:szCs w:val="4"/>
      </w:rPr>
    </w:pPr>
    <w:r>
      <w:rPr>
        <w:noProof/>
        <w:sz w:val="4"/>
        <w:szCs w:val="4"/>
        <w:lang w:val="en-US" w:eastAsia="ja-JP"/>
      </w:rPr>
      <w:drawing>
        <wp:inline distT="0" distB="0" distL="0" distR="0">
          <wp:extent cx="683895" cy="417830"/>
          <wp:effectExtent l="0" t="0" r="0" b="127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17830"/>
                  </a:xfrm>
                  <a:prstGeom prst="rect">
                    <a:avLst/>
                  </a:prstGeom>
                  <a:noFill/>
                  <a:ln>
                    <a:noFill/>
                  </a:ln>
                </pic:spPr>
              </pic:pic>
            </a:graphicData>
          </a:graphic>
        </wp:inline>
      </w:drawing>
    </w:r>
  </w:p>
  <w:p w:rsidR="002B152E" w:rsidRDefault="002B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DB9" w:rsidRDefault="00625DB9">
      <w:r>
        <w:separator/>
      </w:r>
    </w:p>
  </w:footnote>
  <w:footnote w:type="continuationSeparator" w:id="0">
    <w:p w:rsidR="00625DB9" w:rsidRDefault="00625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80" w:rsidRPr="002B152E" w:rsidRDefault="00292480" w:rsidP="002B152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E" w:rsidRPr="00C00F0F" w:rsidRDefault="00317F48">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2B152E" w:rsidRDefault="002B1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E" w:rsidRDefault="002B152E">
    <w:pPr>
      <w:pStyle w:val="JuHeader"/>
    </w:pPr>
    <w:r>
      <w:rPr>
        <w:rStyle w:val="PageNumber"/>
      </w:rPr>
      <w:fldChar w:fldCharType="begin"/>
    </w:r>
    <w:r>
      <w:rPr>
        <w:rStyle w:val="PageNumber"/>
      </w:rPr>
      <w:instrText xml:space="preserve"> PAGE </w:instrText>
    </w:r>
    <w:r>
      <w:rPr>
        <w:rStyle w:val="PageNumber"/>
      </w:rPr>
      <w:fldChar w:fldCharType="separate"/>
    </w:r>
    <w:r w:rsidR="00317F48">
      <w:rPr>
        <w:rStyle w:val="PageNumber"/>
        <w:noProof/>
      </w:rPr>
      <w:t>46</w:t>
    </w:r>
    <w:r>
      <w:rPr>
        <w:rStyle w:val="PageNumber"/>
      </w:rPr>
      <w:fldChar w:fldCharType="end"/>
    </w:r>
    <w:r>
      <w:tab/>
      <w:t>NATALIYA MIKHAYLENKO v. UKRAINE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2E" w:rsidRDefault="002B152E">
    <w:pPr>
      <w:pStyle w:val="JuHeader"/>
    </w:pPr>
    <w:r>
      <w:tab/>
      <w:t>NATALIYA MIKHAYLENKO v. UKRAINE JUDGMENT</w:t>
    </w:r>
    <w:r>
      <w:tab/>
    </w:r>
    <w:r>
      <w:rPr>
        <w:rStyle w:val="PageNumber"/>
      </w:rPr>
      <w:fldChar w:fldCharType="begin"/>
    </w:r>
    <w:r>
      <w:rPr>
        <w:rStyle w:val="PageNumber"/>
      </w:rPr>
      <w:instrText xml:space="preserve"> PAGE </w:instrText>
    </w:r>
    <w:r>
      <w:rPr>
        <w:rStyle w:val="PageNumber"/>
      </w:rPr>
      <w:fldChar w:fldCharType="separate"/>
    </w:r>
    <w:r w:rsidR="00317F48">
      <w:rPr>
        <w:rStyle w:val="PageNumber"/>
        <w:noProof/>
      </w:rPr>
      <w:t>46</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02E" w:rsidRDefault="00A1702E">
    <w:pPr>
      <w:pStyle w:val="JuHeader"/>
    </w:pPr>
    <w:r>
      <w:tab/>
      <w:t>NATALIYA MIKHAYLENKO v. UKRAINE JUDGMENT – SEPARATE OPINION</w:t>
    </w:r>
    <w:r>
      <w:tab/>
    </w:r>
    <w:r>
      <w:rPr>
        <w:rStyle w:val="PageNumber"/>
      </w:rPr>
      <w:fldChar w:fldCharType="begin"/>
    </w:r>
    <w:r>
      <w:rPr>
        <w:rStyle w:val="PageNumber"/>
      </w:rPr>
      <w:instrText xml:space="preserve"> PAGE </w:instrText>
    </w:r>
    <w:r>
      <w:rPr>
        <w:rStyle w:val="PageNumber"/>
      </w:rPr>
      <w:fldChar w:fldCharType="separate"/>
    </w:r>
    <w:r w:rsidR="00317F48">
      <w:rPr>
        <w:rStyle w:val="PageNumber"/>
        <w:noProof/>
      </w:rPr>
      <w:t>46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D2B4008"/>
    <w:multiLevelType w:val="hybridMultilevel"/>
    <w:tmpl w:val="E0689E22"/>
    <w:lvl w:ilvl="0" w:tplc="01848850">
      <w:start w:val="3"/>
      <w:numFmt w:val="bullet"/>
      <w:lvlText w:val="-"/>
      <w:lvlJc w:val="left"/>
      <w:pPr>
        <w:tabs>
          <w:tab w:val="num" w:pos="786"/>
        </w:tabs>
        <w:ind w:left="786" w:hanging="360"/>
      </w:pPr>
      <w:rPr>
        <w:rFonts w:ascii="Times New Roman" w:eastAsia="Times New Roman" w:hAnsi="Times New Roman" w:cs="Times New Roman"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 "/>
    <w:docVar w:name="L4_1Annex" w:val="0"/>
    <w:docVar w:name="L4_1Anonymity" w:val="0"/>
    <w:docVar w:name="NBEMMDOC" w:val="0"/>
    <w:docVar w:name="SignForeName" w:val="0"/>
  </w:docVars>
  <w:rsids>
    <w:rsidRoot w:val="00FD502B"/>
    <w:rsid w:val="00001A97"/>
    <w:rsid w:val="00001CC5"/>
    <w:rsid w:val="00002DD1"/>
    <w:rsid w:val="000042D1"/>
    <w:rsid w:val="00007B38"/>
    <w:rsid w:val="00013894"/>
    <w:rsid w:val="0003051A"/>
    <w:rsid w:val="00033160"/>
    <w:rsid w:val="00033FD2"/>
    <w:rsid w:val="0003679E"/>
    <w:rsid w:val="00042867"/>
    <w:rsid w:val="00047867"/>
    <w:rsid w:val="0005522C"/>
    <w:rsid w:val="00055AC1"/>
    <w:rsid w:val="000726F6"/>
    <w:rsid w:val="00076A67"/>
    <w:rsid w:val="000802E2"/>
    <w:rsid w:val="00085837"/>
    <w:rsid w:val="00085B3A"/>
    <w:rsid w:val="00090C82"/>
    <w:rsid w:val="0009409F"/>
    <w:rsid w:val="00096FE9"/>
    <w:rsid w:val="000A1AA3"/>
    <w:rsid w:val="000A4940"/>
    <w:rsid w:val="000A6206"/>
    <w:rsid w:val="000B0ACB"/>
    <w:rsid w:val="000C4BB6"/>
    <w:rsid w:val="000C78D3"/>
    <w:rsid w:val="000D1D08"/>
    <w:rsid w:val="000D5B31"/>
    <w:rsid w:val="000D5D96"/>
    <w:rsid w:val="000D6108"/>
    <w:rsid w:val="000E1449"/>
    <w:rsid w:val="000E6445"/>
    <w:rsid w:val="000F699D"/>
    <w:rsid w:val="00104AD1"/>
    <w:rsid w:val="001114B9"/>
    <w:rsid w:val="00111D99"/>
    <w:rsid w:val="00112CE6"/>
    <w:rsid w:val="0011665B"/>
    <w:rsid w:val="00125DE6"/>
    <w:rsid w:val="00126213"/>
    <w:rsid w:val="00127C06"/>
    <w:rsid w:val="0013290F"/>
    <w:rsid w:val="00137129"/>
    <w:rsid w:val="00143CC6"/>
    <w:rsid w:val="00144007"/>
    <w:rsid w:val="00151CCA"/>
    <w:rsid w:val="0015731F"/>
    <w:rsid w:val="00157BD8"/>
    <w:rsid w:val="001647CB"/>
    <w:rsid w:val="00174A6F"/>
    <w:rsid w:val="001757BF"/>
    <w:rsid w:val="001812B2"/>
    <w:rsid w:val="0019388B"/>
    <w:rsid w:val="00195378"/>
    <w:rsid w:val="00197C29"/>
    <w:rsid w:val="001A0B59"/>
    <w:rsid w:val="001A0EBE"/>
    <w:rsid w:val="001A2CB2"/>
    <w:rsid w:val="001B2EFC"/>
    <w:rsid w:val="001B62B1"/>
    <w:rsid w:val="001B74F7"/>
    <w:rsid w:val="001D7A8F"/>
    <w:rsid w:val="001F3964"/>
    <w:rsid w:val="001F5586"/>
    <w:rsid w:val="001F64FC"/>
    <w:rsid w:val="002041E3"/>
    <w:rsid w:val="00222172"/>
    <w:rsid w:val="00225BE5"/>
    <w:rsid w:val="002266CD"/>
    <w:rsid w:val="002320C6"/>
    <w:rsid w:val="00234AD9"/>
    <w:rsid w:val="00246F1F"/>
    <w:rsid w:val="00252B31"/>
    <w:rsid w:val="002563F5"/>
    <w:rsid w:val="00256D46"/>
    <w:rsid w:val="0026084E"/>
    <w:rsid w:val="00265471"/>
    <w:rsid w:val="0026789F"/>
    <w:rsid w:val="00267E01"/>
    <w:rsid w:val="002701D1"/>
    <w:rsid w:val="00271A81"/>
    <w:rsid w:val="00274425"/>
    <w:rsid w:val="00282104"/>
    <w:rsid w:val="00292480"/>
    <w:rsid w:val="00294C17"/>
    <w:rsid w:val="002955A1"/>
    <w:rsid w:val="00296B76"/>
    <w:rsid w:val="00297942"/>
    <w:rsid w:val="002A4296"/>
    <w:rsid w:val="002B152E"/>
    <w:rsid w:val="002B18B7"/>
    <w:rsid w:val="002C7D3E"/>
    <w:rsid w:val="002E2EAF"/>
    <w:rsid w:val="002E6A74"/>
    <w:rsid w:val="002F4BCF"/>
    <w:rsid w:val="002F6FE9"/>
    <w:rsid w:val="00302008"/>
    <w:rsid w:val="00304AED"/>
    <w:rsid w:val="003104E9"/>
    <w:rsid w:val="00311C4C"/>
    <w:rsid w:val="0031573C"/>
    <w:rsid w:val="00317F48"/>
    <w:rsid w:val="0032093A"/>
    <w:rsid w:val="00325C2B"/>
    <w:rsid w:val="003272D0"/>
    <w:rsid w:val="00332547"/>
    <w:rsid w:val="00336887"/>
    <w:rsid w:val="00337600"/>
    <w:rsid w:val="003403BB"/>
    <w:rsid w:val="0034580F"/>
    <w:rsid w:val="00347A98"/>
    <w:rsid w:val="003506C9"/>
    <w:rsid w:val="00355F8F"/>
    <w:rsid w:val="00371277"/>
    <w:rsid w:val="0037228D"/>
    <w:rsid w:val="00394064"/>
    <w:rsid w:val="003A64D3"/>
    <w:rsid w:val="003B41C7"/>
    <w:rsid w:val="003B50D7"/>
    <w:rsid w:val="003C0521"/>
    <w:rsid w:val="003E0366"/>
    <w:rsid w:val="003E2006"/>
    <w:rsid w:val="003E319C"/>
    <w:rsid w:val="003F3BFD"/>
    <w:rsid w:val="00401C5B"/>
    <w:rsid w:val="00401D48"/>
    <w:rsid w:val="00412F5F"/>
    <w:rsid w:val="00413EFC"/>
    <w:rsid w:val="004171AB"/>
    <w:rsid w:val="00432006"/>
    <w:rsid w:val="00432C98"/>
    <w:rsid w:val="004406AA"/>
    <w:rsid w:val="00441AA3"/>
    <w:rsid w:val="00452CF1"/>
    <w:rsid w:val="00457A18"/>
    <w:rsid w:val="00460FAD"/>
    <w:rsid w:val="00464BB5"/>
    <w:rsid w:val="00465AD7"/>
    <w:rsid w:val="00466987"/>
    <w:rsid w:val="00467D46"/>
    <w:rsid w:val="00471505"/>
    <w:rsid w:val="00477D0D"/>
    <w:rsid w:val="00485A6F"/>
    <w:rsid w:val="004920B1"/>
    <w:rsid w:val="004C6042"/>
    <w:rsid w:val="004D57AA"/>
    <w:rsid w:val="004E5203"/>
    <w:rsid w:val="004E5DFC"/>
    <w:rsid w:val="004F3685"/>
    <w:rsid w:val="0050096C"/>
    <w:rsid w:val="005037FC"/>
    <w:rsid w:val="00513446"/>
    <w:rsid w:val="00513A00"/>
    <w:rsid w:val="005162E2"/>
    <w:rsid w:val="00516EBF"/>
    <w:rsid w:val="00522362"/>
    <w:rsid w:val="00522D09"/>
    <w:rsid w:val="00524FFC"/>
    <w:rsid w:val="00530E5E"/>
    <w:rsid w:val="00531B4C"/>
    <w:rsid w:val="005419B6"/>
    <w:rsid w:val="00546F49"/>
    <w:rsid w:val="0056771C"/>
    <w:rsid w:val="005777BA"/>
    <w:rsid w:val="00577E6A"/>
    <w:rsid w:val="00582D1B"/>
    <w:rsid w:val="00584A11"/>
    <w:rsid w:val="005864A1"/>
    <w:rsid w:val="005874FF"/>
    <w:rsid w:val="005944D6"/>
    <w:rsid w:val="00595C5D"/>
    <w:rsid w:val="005A25D9"/>
    <w:rsid w:val="005A3D27"/>
    <w:rsid w:val="005B16A8"/>
    <w:rsid w:val="005B4233"/>
    <w:rsid w:val="005C1929"/>
    <w:rsid w:val="005C1956"/>
    <w:rsid w:val="005C2C88"/>
    <w:rsid w:val="005C41CB"/>
    <w:rsid w:val="005E384F"/>
    <w:rsid w:val="005F4753"/>
    <w:rsid w:val="005F7A10"/>
    <w:rsid w:val="006016F7"/>
    <w:rsid w:val="006053AC"/>
    <w:rsid w:val="006111FF"/>
    <w:rsid w:val="006138EA"/>
    <w:rsid w:val="00625699"/>
    <w:rsid w:val="00625DB9"/>
    <w:rsid w:val="0062787C"/>
    <w:rsid w:val="00633478"/>
    <w:rsid w:val="00640B82"/>
    <w:rsid w:val="00646BAD"/>
    <w:rsid w:val="0065230D"/>
    <w:rsid w:val="00655126"/>
    <w:rsid w:val="00661383"/>
    <w:rsid w:val="006639B6"/>
    <w:rsid w:val="0066741F"/>
    <w:rsid w:val="006729C8"/>
    <w:rsid w:val="00697F14"/>
    <w:rsid w:val="006A3D9D"/>
    <w:rsid w:val="006A45AC"/>
    <w:rsid w:val="006A7C48"/>
    <w:rsid w:val="006B348D"/>
    <w:rsid w:val="006B3B6F"/>
    <w:rsid w:val="006B587A"/>
    <w:rsid w:val="006B71AA"/>
    <w:rsid w:val="006B7CBE"/>
    <w:rsid w:val="006C2B52"/>
    <w:rsid w:val="006C2F9F"/>
    <w:rsid w:val="006C3495"/>
    <w:rsid w:val="006C35C5"/>
    <w:rsid w:val="006C6997"/>
    <w:rsid w:val="006D5F31"/>
    <w:rsid w:val="006D71BC"/>
    <w:rsid w:val="006E6D33"/>
    <w:rsid w:val="006F4751"/>
    <w:rsid w:val="006F60BF"/>
    <w:rsid w:val="007156E0"/>
    <w:rsid w:val="007221DD"/>
    <w:rsid w:val="00726005"/>
    <w:rsid w:val="00730053"/>
    <w:rsid w:val="00730433"/>
    <w:rsid w:val="007352DD"/>
    <w:rsid w:val="00750E5E"/>
    <w:rsid w:val="00752E41"/>
    <w:rsid w:val="00754ABE"/>
    <w:rsid w:val="00756D5B"/>
    <w:rsid w:val="007603BB"/>
    <w:rsid w:val="00765252"/>
    <w:rsid w:val="00776807"/>
    <w:rsid w:val="00777851"/>
    <w:rsid w:val="0077789B"/>
    <w:rsid w:val="0078062F"/>
    <w:rsid w:val="007827E7"/>
    <w:rsid w:val="0079163D"/>
    <w:rsid w:val="0079187F"/>
    <w:rsid w:val="00796423"/>
    <w:rsid w:val="007A0690"/>
    <w:rsid w:val="007A1FFE"/>
    <w:rsid w:val="007A357A"/>
    <w:rsid w:val="007A4A6F"/>
    <w:rsid w:val="007A6DBA"/>
    <w:rsid w:val="007B2958"/>
    <w:rsid w:val="007C090B"/>
    <w:rsid w:val="007C1CE3"/>
    <w:rsid w:val="007D0D75"/>
    <w:rsid w:val="007D59EF"/>
    <w:rsid w:val="007E2C91"/>
    <w:rsid w:val="007E5302"/>
    <w:rsid w:val="007E603C"/>
    <w:rsid w:val="007E65F0"/>
    <w:rsid w:val="007F5D71"/>
    <w:rsid w:val="007F735A"/>
    <w:rsid w:val="00806A0E"/>
    <w:rsid w:val="00806E5F"/>
    <w:rsid w:val="00842C8E"/>
    <w:rsid w:val="00846856"/>
    <w:rsid w:val="00853345"/>
    <w:rsid w:val="008601F7"/>
    <w:rsid w:val="00864209"/>
    <w:rsid w:val="00865009"/>
    <w:rsid w:val="00865450"/>
    <w:rsid w:val="008824B9"/>
    <w:rsid w:val="00882C33"/>
    <w:rsid w:val="0088315D"/>
    <w:rsid w:val="00884205"/>
    <w:rsid w:val="00886BB5"/>
    <w:rsid w:val="00893782"/>
    <w:rsid w:val="00895E85"/>
    <w:rsid w:val="008970EC"/>
    <w:rsid w:val="0089720A"/>
    <w:rsid w:val="008B5BFB"/>
    <w:rsid w:val="008B6BA9"/>
    <w:rsid w:val="008C39B5"/>
    <w:rsid w:val="008C4E87"/>
    <w:rsid w:val="008C60EE"/>
    <w:rsid w:val="008C6F68"/>
    <w:rsid w:val="008D7BF2"/>
    <w:rsid w:val="008E05A3"/>
    <w:rsid w:val="008E3912"/>
    <w:rsid w:val="008F63BE"/>
    <w:rsid w:val="008F66F2"/>
    <w:rsid w:val="008F68D7"/>
    <w:rsid w:val="00900F2B"/>
    <w:rsid w:val="00901475"/>
    <w:rsid w:val="0091229F"/>
    <w:rsid w:val="009169BC"/>
    <w:rsid w:val="00927277"/>
    <w:rsid w:val="00930CD7"/>
    <w:rsid w:val="00932C7B"/>
    <w:rsid w:val="0093303A"/>
    <w:rsid w:val="00937B98"/>
    <w:rsid w:val="0094239F"/>
    <w:rsid w:val="00942DCE"/>
    <w:rsid w:val="00956501"/>
    <w:rsid w:val="00965BD4"/>
    <w:rsid w:val="00977BAF"/>
    <w:rsid w:val="00981C86"/>
    <w:rsid w:val="0098535B"/>
    <w:rsid w:val="0099561C"/>
    <w:rsid w:val="00995F44"/>
    <w:rsid w:val="009A406E"/>
    <w:rsid w:val="009A6925"/>
    <w:rsid w:val="009B039E"/>
    <w:rsid w:val="009B15A1"/>
    <w:rsid w:val="009B2AE0"/>
    <w:rsid w:val="009B4C72"/>
    <w:rsid w:val="009B63CD"/>
    <w:rsid w:val="009C5183"/>
    <w:rsid w:val="009D1A96"/>
    <w:rsid w:val="009D1EDB"/>
    <w:rsid w:val="009D46D7"/>
    <w:rsid w:val="009D4B87"/>
    <w:rsid w:val="009F0055"/>
    <w:rsid w:val="009F07CC"/>
    <w:rsid w:val="009F18CE"/>
    <w:rsid w:val="009F1D27"/>
    <w:rsid w:val="009F2960"/>
    <w:rsid w:val="009F5625"/>
    <w:rsid w:val="00A012A5"/>
    <w:rsid w:val="00A04E02"/>
    <w:rsid w:val="00A06A89"/>
    <w:rsid w:val="00A108F1"/>
    <w:rsid w:val="00A135BE"/>
    <w:rsid w:val="00A1702E"/>
    <w:rsid w:val="00A32774"/>
    <w:rsid w:val="00A32B81"/>
    <w:rsid w:val="00A35C98"/>
    <w:rsid w:val="00A36290"/>
    <w:rsid w:val="00A5331A"/>
    <w:rsid w:val="00A6363C"/>
    <w:rsid w:val="00A7049C"/>
    <w:rsid w:val="00A72BE9"/>
    <w:rsid w:val="00A738D4"/>
    <w:rsid w:val="00A765D5"/>
    <w:rsid w:val="00A80135"/>
    <w:rsid w:val="00A81246"/>
    <w:rsid w:val="00A83164"/>
    <w:rsid w:val="00A8381C"/>
    <w:rsid w:val="00AA0A20"/>
    <w:rsid w:val="00AA2B6A"/>
    <w:rsid w:val="00AA373E"/>
    <w:rsid w:val="00AA6CAF"/>
    <w:rsid w:val="00AA7CA2"/>
    <w:rsid w:val="00AB0594"/>
    <w:rsid w:val="00AB2166"/>
    <w:rsid w:val="00AB43D9"/>
    <w:rsid w:val="00AC134B"/>
    <w:rsid w:val="00AC4995"/>
    <w:rsid w:val="00AD57B2"/>
    <w:rsid w:val="00AE22B8"/>
    <w:rsid w:val="00AE2F4F"/>
    <w:rsid w:val="00AE418D"/>
    <w:rsid w:val="00B030BE"/>
    <w:rsid w:val="00B03A50"/>
    <w:rsid w:val="00B0594B"/>
    <w:rsid w:val="00B122EA"/>
    <w:rsid w:val="00B13829"/>
    <w:rsid w:val="00B15051"/>
    <w:rsid w:val="00B21405"/>
    <w:rsid w:val="00B239C6"/>
    <w:rsid w:val="00B324A5"/>
    <w:rsid w:val="00B3608A"/>
    <w:rsid w:val="00B4551C"/>
    <w:rsid w:val="00B460AF"/>
    <w:rsid w:val="00B52010"/>
    <w:rsid w:val="00B5273E"/>
    <w:rsid w:val="00B536CC"/>
    <w:rsid w:val="00B574E7"/>
    <w:rsid w:val="00B6108B"/>
    <w:rsid w:val="00B64488"/>
    <w:rsid w:val="00B662B2"/>
    <w:rsid w:val="00B6763B"/>
    <w:rsid w:val="00B67A2A"/>
    <w:rsid w:val="00B67CBD"/>
    <w:rsid w:val="00B717A6"/>
    <w:rsid w:val="00B743BC"/>
    <w:rsid w:val="00B81192"/>
    <w:rsid w:val="00B915F3"/>
    <w:rsid w:val="00B921A8"/>
    <w:rsid w:val="00B95CFD"/>
    <w:rsid w:val="00BB1644"/>
    <w:rsid w:val="00BB2BF7"/>
    <w:rsid w:val="00BB722D"/>
    <w:rsid w:val="00BC7EEE"/>
    <w:rsid w:val="00BD19AE"/>
    <w:rsid w:val="00BD2778"/>
    <w:rsid w:val="00BD3D88"/>
    <w:rsid w:val="00BE50FE"/>
    <w:rsid w:val="00BE5958"/>
    <w:rsid w:val="00BF071D"/>
    <w:rsid w:val="00BF253B"/>
    <w:rsid w:val="00C002CF"/>
    <w:rsid w:val="00C01E1C"/>
    <w:rsid w:val="00C02E48"/>
    <w:rsid w:val="00C27EF9"/>
    <w:rsid w:val="00C3018F"/>
    <w:rsid w:val="00C303CC"/>
    <w:rsid w:val="00C30671"/>
    <w:rsid w:val="00C47696"/>
    <w:rsid w:val="00C53BED"/>
    <w:rsid w:val="00C577C8"/>
    <w:rsid w:val="00C63E30"/>
    <w:rsid w:val="00C73967"/>
    <w:rsid w:val="00C8331A"/>
    <w:rsid w:val="00C84877"/>
    <w:rsid w:val="00C94023"/>
    <w:rsid w:val="00C96EBF"/>
    <w:rsid w:val="00CA0D47"/>
    <w:rsid w:val="00CA15A3"/>
    <w:rsid w:val="00CC6623"/>
    <w:rsid w:val="00CD0CEB"/>
    <w:rsid w:val="00CD31A0"/>
    <w:rsid w:val="00CD5D90"/>
    <w:rsid w:val="00CD690B"/>
    <w:rsid w:val="00CE1C9D"/>
    <w:rsid w:val="00CE5750"/>
    <w:rsid w:val="00CF166A"/>
    <w:rsid w:val="00CF1B26"/>
    <w:rsid w:val="00CF2F4F"/>
    <w:rsid w:val="00D00569"/>
    <w:rsid w:val="00D102A7"/>
    <w:rsid w:val="00D10D1B"/>
    <w:rsid w:val="00D1288A"/>
    <w:rsid w:val="00D15473"/>
    <w:rsid w:val="00D22172"/>
    <w:rsid w:val="00D30F97"/>
    <w:rsid w:val="00D31E90"/>
    <w:rsid w:val="00D33169"/>
    <w:rsid w:val="00D333B8"/>
    <w:rsid w:val="00D353F4"/>
    <w:rsid w:val="00D357B5"/>
    <w:rsid w:val="00D42913"/>
    <w:rsid w:val="00D44EA3"/>
    <w:rsid w:val="00D56B5D"/>
    <w:rsid w:val="00D63366"/>
    <w:rsid w:val="00D63793"/>
    <w:rsid w:val="00D73611"/>
    <w:rsid w:val="00D76B5D"/>
    <w:rsid w:val="00D83438"/>
    <w:rsid w:val="00D90810"/>
    <w:rsid w:val="00DB0C03"/>
    <w:rsid w:val="00DB5B90"/>
    <w:rsid w:val="00DB6D67"/>
    <w:rsid w:val="00DC2093"/>
    <w:rsid w:val="00DC5C22"/>
    <w:rsid w:val="00DE1CF2"/>
    <w:rsid w:val="00DE4193"/>
    <w:rsid w:val="00DE5E8F"/>
    <w:rsid w:val="00DE6509"/>
    <w:rsid w:val="00DF06A0"/>
    <w:rsid w:val="00DF53C0"/>
    <w:rsid w:val="00E02AC8"/>
    <w:rsid w:val="00E035B2"/>
    <w:rsid w:val="00E124D4"/>
    <w:rsid w:val="00E171CB"/>
    <w:rsid w:val="00E201FD"/>
    <w:rsid w:val="00E2705B"/>
    <w:rsid w:val="00E32625"/>
    <w:rsid w:val="00E32971"/>
    <w:rsid w:val="00E3405B"/>
    <w:rsid w:val="00E422D1"/>
    <w:rsid w:val="00E46E26"/>
    <w:rsid w:val="00E4717F"/>
    <w:rsid w:val="00E47BD6"/>
    <w:rsid w:val="00E50337"/>
    <w:rsid w:val="00E50968"/>
    <w:rsid w:val="00E526A4"/>
    <w:rsid w:val="00E6053B"/>
    <w:rsid w:val="00E71C65"/>
    <w:rsid w:val="00E76E6A"/>
    <w:rsid w:val="00E81663"/>
    <w:rsid w:val="00E878F1"/>
    <w:rsid w:val="00E87C3C"/>
    <w:rsid w:val="00E904B2"/>
    <w:rsid w:val="00E9155E"/>
    <w:rsid w:val="00E973F5"/>
    <w:rsid w:val="00EA086A"/>
    <w:rsid w:val="00EA4C31"/>
    <w:rsid w:val="00EB0CCC"/>
    <w:rsid w:val="00EB2A33"/>
    <w:rsid w:val="00EB41E9"/>
    <w:rsid w:val="00EB4D4E"/>
    <w:rsid w:val="00EB5EBC"/>
    <w:rsid w:val="00ED12C3"/>
    <w:rsid w:val="00ED3AC7"/>
    <w:rsid w:val="00ED75AA"/>
    <w:rsid w:val="00EE1252"/>
    <w:rsid w:val="00EE47FF"/>
    <w:rsid w:val="00EE55C0"/>
    <w:rsid w:val="00EE5C49"/>
    <w:rsid w:val="00EE7911"/>
    <w:rsid w:val="00EF2384"/>
    <w:rsid w:val="00F0513B"/>
    <w:rsid w:val="00F22E8B"/>
    <w:rsid w:val="00F324E0"/>
    <w:rsid w:val="00F34D23"/>
    <w:rsid w:val="00F43FF3"/>
    <w:rsid w:val="00F5124B"/>
    <w:rsid w:val="00F51373"/>
    <w:rsid w:val="00F62FA4"/>
    <w:rsid w:val="00F71040"/>
    <w:rsid w:val="00F71A6A"/>
    <w:rsid w:val="00F73D18"/>
    <w:rsid w:val="00F9077E"/>
    <w:rsid w:val="00F94742"/>
    <w:rsid w:val="00FA1119"/>
    <w:rsid w:val="00FA40D2"/>
    <w:rsid w:val="00FA5A38"/>
    <w:rsid w:val="00FC056B"/>
    <w:rsid w:val="00FC22D8"/>
    <w:rsid w:val="00FD103D"/>
    <w:rsid w:val="00FD3E2F"/>
    <w:rsid w:val="00FD502B"/>
    <w:rsid w:val="00FE2C38"/>
    <w:rsid w:val="00FE643D"/>
    <w:rsid w:val="00FE6E31"/>
    <w:rsid w:val="00FF14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644"/>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D1288A"/>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sb8d990e2">
    <w:name w:val="sb8d990e2"/>
    <w:basedOn w:val="DefaultParagraphFont"/>
    <w:rsid w:val="003272D0"/>
  </w:style>
  <w:style w:type="character" w:customStyle="1" w:styleId="wordhighlightedcurrentterm">
    <w:name w:val="wordhighlighted currentterm"/>
    <w:basedOn w:val="DefaultParagraphFont"/>
    <w:rsid w:val="003272D0"/>
  </w:style>
  <w:style w:type="character" w:customStyle="1" w:styleId="s6b621b36">
    <w:name w:val="s6b621b36"/>
    <w:basedOn w:val="DefaultParagraphFont"/>
    <w:rsid w:val="003272D0"/>
  </w:style>
  <w:style w:type="paragraph" w:customStyle="1" w:styleId="opipara0">
    <w:name w:val="opipara"/>
    <w:basedOn w:val="Normal"/>
    <w:rsid w:val="00FD103D"/>
    <w:pPr>
      <w:suppressAutoHyphens w:val="0"/>
      <w:spacing w:before="100" w:beforeAutospacing="1" w:after="100" w:afterAutospacing="1"/>
    </w:pPr>
    <w:rPr>
      <w:szCs w:val="24"/>
      <w:lang w:eastAsia="en-GB"/>
    </w:rPr>
  </w:style>
  <w:style w:type="character" w:customStyle="1" w:styleId="wordhighlightedcurrentterm0">
    <w:name w:val="wordhighlightedcurrentterm"/>
    <w:basedOn w:val="DefaultParagraphFont"/>
    <w:rsid w:val="00FD1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644"/>
    <w:pPr>
      <w:suppressAutoHyphens/>
    </w:pPr>
    <w:rPr>
      <w:sz w:val="24"/>
      <w:lang w:val="en-GB" w:eastAsia="fr-FR"/>
    </w:rPr>
  </w:style>
  <w:style w:type="paragraph" w:styleId="Heading1">
    <w:name w:val="heading 1"/>
    <w:basedOn w:val="Normal"/>
    <w:next w:val="Normal"/>
    <w:qFormat/>
    <w:rsid w:val="008824B9"/>
    <w:pPr>
      <w:keepNext/>
      <w:spacing w:before="360" w:after="240"/>
      <w:jc w:val="center"/>
      <w:outlineLvl w:val="0"/>
    </w:pPr>
    <w:rPr>
      <w:b/>
      <w:sz w:val="28"/>
    </w:rPr>
  </w:style>
  <w:style w:type="paragraph" w:styleId="Heading2">
    <w:name w:val="heading 2"/>
    <w:basedOn w:val="Normal"/>
    <w:next w:val="Normal"/>
    <w:qFormat/>
    <w:rsid w:val="008824B9"/>
    <w:pPr>
      <w:keepNext/>
      <w:spacing w:before="240" w:after="120"/>
      <w:ind w:left="284" w:hanging="284"/>
      <w:outlineLvl w:val="1"/>
    </w:pPr>
    <w:rPr>
      <w:b/>
    </w:rPr>
  </w:style>
  <w:style w:type="paragraph" w:styleId="Heading3">
    <w:name w:val="heading 3"/>
    <w:basedOn w:val="Normal"/>
    <w:next w:val="Normal"/>
    <w:qFormat/>
    <w:rsid w:val="008824B9"/>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8824B9"/>
  </w:style>
  <w:style w:type="table" w:default="1" w:styleId="TableNormal">
    <w:name w:val="Normal Table"/>
    <w:semiHidden/>
    <w:rsid w:val="009B039E"/>
    <w:tblPr>
      <w:tblInd w:w="0" w:type="dxa"/>
      <w:tblCellMar>
        <w:top w:w="0" w:type="dxa"/>
        <w:left w:w="108" w:type="dxa"/>
        <w:bottom w:w="0" w:type="dxa"/>
        <w:right w:w="108" w:type="dxa"/>
      </w:tblCellMar>
    </w:tblPr>
  </w:style>
  <w:style w:type="numbering" w:default="1" w:styleId="NoList">
    <w:name w:val="No List"/>
    <w:semiHidden/>
    <w:rsid w:val="008824B9"/>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
    <w:basedOn w:val="NormalTimesNewRoman"/>
    <w:link w:val="JuParaChar"/>
    <w:rsid w:val="00D1288A"/>
    <w:pPr>
      <w:ind w:firstLine="284"/>
      <w:jc w:val="both"/>
    </w:pPr>
  </w:style>
  <w:style w:type="character" w:customStyle="1" w:styleId="JuParaChar">
    <w:name w:val="Ju_Para Char"/>
    <w:link w:val="JuPara"/>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Footer">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rsid w:val="00D1288A"/>
    <w:pPr>
      <w:tabs>
        <w:tab w:val="clear" w:pos="357"/>
        <w:tab w:val="left" w:pos="584"/>
      </w:tabs>
      <w:ind w:left="584" w:hanging="352"/>
      <w:outlineLvl w:val="2"/>
    </w:pPr>
    <w:rPr>
      <w:b/>
    </w:rPr>
  </w:style>
  <w:style w:type="paragraph" w:customStyle="1" w:styleId="JuQuot">
    <w:name w:val="Ju_Quot"/>
    <w:basedOn w:val="JuPara"/>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FootnoteText">
    <w:name w:val="footnote text"/>
    <w:basedOn w:val="Normal"/>
    <w:semiHidden/>
    <w:rsid w:val="00D1288A"/>
    <w:pPr>
      <w:jc w:val="both"/>
    </w:pPr>
    <w:rPr>
      <w:sz w:val="20"/>
    </w:rPr>
  </w:style>
  <w:style w:type="character" w:styleId="FootnoteReference">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Header">
    <w:name w:val="header"/>
    <w:basedOn w:val="NormalTimesNewRoman"/>
    <w:rsid w:val="00D1288A"/>
    <w:pPr>
      <w:tabs>
        <w:tab w:val="center" w:pos="3686"/>
        <w:tab w:val="right" w:pos="7371"/>
      </w:tabs>
    </w:pPr>
    <w:rPr>
      <w:sz w:val="18"/>
    </w:rPr>
  </w:style>
  <w:style w:type="character" w:styleId="PageNumber">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Header"/>
    <w:rsid w:val="00D1288A"/>
  </w:style>
  <w:style w:type="paragraph" w:customStyle="1" w:styleId="DecHTitle">
    <w:name w:val="Dec_H_Title"/>
    <w:basedOn w:val="Normal"/>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BalloonText">
    <w:name w:val="Balloon Text"/>
    <w:basedOn w:val="Normal"/>
    <w:semiHidden/>
    <w:rsid w:val="00457A18"/>
    <w:rPr>
      <w:rFonts w:ascii="Tahoma" w:hAnsi="Tahoma" w:cs="Tahoma"/>
      <w:sz w:val="16"/>
      <w:szCs w:val="16"/>
    </w:rPr>
  </w:style>
  <w:style w:type="paragraph" w:styleId="CommentSubject">
    <w:name w:val="annotation subject"/>
    <w:basedOn w:val="CommentText"/>
    <w:next w:val="CommentText"/>
    <w:semiHidden/>
    <w:rsid w:val="00D353F4"/>
    <w:rPr>
      <w:b/>
      <w:bCs/>
    </w:rPr>
  </w:style>
  <w:style w:type="character" w:styleId="EndnoteReference">
    <w:name w:val="endnote reference"/>
    <w:semiHidden/>
    <w:rsid w:val="00D1288A"/>
    <w:rPr>
      <w:vertAlign w:val="superscript"/>
    </w:rPr>
  </w:style>
  <w:style w:type="paragraph" w:styleId="EndnoteText">
    <w:name w:val="endnote text"/>
    <w:basedOn w:val="Normal"/>
    <w:semiHidden/>
    <w:rsid w:val="00D1288A"/>
    <w:rPr>
      <w:sz w:val="20"/>
    </w:rPr>
  </w:style>
  <w:style w:type="character" w:styleId="FollowedHyperlink">
    <w:name w:val="FollowedHyperlink"/>
    <w:rsid w:val="00D1288A"/>
    <w:rPr>
      <w:color w:val="800080"/>
      <w:u w:val="single"/>
    </w:rPr>
  </w:style>
  <w:style w:type="paragraph" w:customStyle="1" w:styleId="SuCoverTitle1">
    <w:name w:val="Su_Cover_Title1"/>
    <w:basedOn w:val="Normal"/>
    <w:next w:val="SuCoverTitle2"/>
    <w:rsid w:val="0037228D"/>
    <w:pPr>
      <w:spacing w:before="2500"/>
      <w:jc w:val="center"/>
    </w:pPr>
    <w:rPr>
      <w:sz w:val="22"/>
    </w:rPr>
  </w:style>
  <w:style w:type="paragraph" w:customStyle="1" w:styleId="SuCoverTitle2">
    <w:name w:val="Su_Cover_Title2"/>
    <w:basedOn w:val="SuCoverTitle1"/>
    <w:next w:val="Normal"/>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yperlink">
    <w:name w:val="Hyperlink"/>
    <w:rsid w:val="00D1288A"/>
    <w:rPr>
      <w:color w:val="0000FF"/>
      <w:u w:val="single"/>
    </w:rPr>
  </w:style>
  <w:style w:type="character" w:styleId="Strong">
    <w:name w:val="Strong"/>
    <w:qFormat/>
    <w:rsid w:val="00AA7CA2"/>
    <w:rPr>
      <w:b/>
      <w:bCs/>
    </w:rPr>
  </w:style>
  <w:style w:type="paragraph" w:styleId="DocumentMap">
    <w:name w:val="Document Map"/>
    <w:basedOn w:val="Normal"/>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
    <w:rsid w:val="008824B9"/>
    <w:pPr>
      <w:jc w:val="both"/>
    </w:pPr>
  </w:style>
  <w:style w:type="paragraph" w:customStyle="1" w:styleId="JuAppQuestion">
    <w:name w:val="Ju_App_Question"/>
    <w:basedOn w:val="ListBullet"/>
    <w:rsid w:val="00D1288A"/>
    <w:pPr>
      <w:numPr>
        <w:numId w:val="6"/>
      </w:numPr>
      <w:suppressAutoHyphens w:val="0"/>
    </w:pPr>
    <w:rPr>
      <w:b/>
      <w:color w:val="333333"/>
    </w:rPr>
  </w:style>
  <w:style w:type="paragraph" w:styleId="ListBullet">
    <w:name w:val="List Bullet"/>
    <w:basedOn w:val="Normal"/>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rsid w:val="00A36290"/>
    <w:rPr>
      <w:sz w:val="24"/>
      <w:lang w:val="en-GB" w:eastAsia="fr-FR" w:bidi="ar-SA"/>
    </w:rPr>
  </w:style>
  <w:style w:type="character" w:customStyle="1" w:styleId="sb8d990e2">
    <w:name w:val="sb8d990e2"/>
    <w:basedOn w:val="DefaultParagraphFont"/>
    <w:rsid w:val="003272D0"/>
  </w:style>
  <w:style w:type="character" w:customStyle="1" w:styleId="wordhighlightedcurrentterm">
    <w:name w:val="wordhighlighted currentterm"/>
    <w:basedOn w:val="DefaultParagraphFont"/>
    <w:rsid w:val="003272D0"/>
  </w:style>
  <w:style w:type="character" w:customStyle="1" w:styleId="s6b621b36">
    <w:name w:val="s6b621b36"/>
    <w:basedOn w:val="DefaultParagraphFont"/>
    <w:rsid w:val="003272D0"/>
  </w:style>
  <w:style w:type="paragraph" w:customStyle="1" w:styleId="opipara0">
    <w:name w:val="opipara"/>
    <w:basedOn w:val="Normal"/>
    <w:rsid w:val="00FD103D"/>
    <w:pPr>
      <w:suppressAutoHyphens w:val="0"/>
      <w:spacing w:before="100" w:beforeAutospacing="1" w:after="100" w:afterAutospacing="1"/>
    </w:pPr>
    <w:rPr>
      <w:szCs w:val="24"/>
      <w:lang w:eastAsia="en-GB"/>
    </w:rPr>
  </w:style>
  <w:style w:type="character" w:customStyle="1" w:styleId="wordhighlightedcurrentterm0">
    <w:name w:val="wordhighlightedcurrentterm"/>
    <w:basedOn w:val="DefaultParagraphFont"/>
    <w:rsid w:val="00FD1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7559">
      <w:bodyDiv w:val="1"/>
      <w:marLeft w:val="0"/>
      <w:marRight w:val="0"/>
      <w:marTop w:val="0"/>
      <w:marBottom w:val="0"/>
      <w:divBdr>
        <w:top w:val="none" w:sz="0" w:space="0" w:color="auto"/>
        <w:left w:val="none" w:sz="0" w:space="0" w:color="auto"/>
        <w:bottom w:val="none" w:sz="0" w:space="0" w:color="auto"/>
        <w:right w:val="none" w:sz="0" w:space="0" w:color="auto"/>
      </w:divBdr>
      <w:divsChild>
        <w:div w:id="380717805">
          <w:marLeft w:val="0"/>
          <w:marRight w:val="0"/>
          <w:marTop w:val="0"/>
          <w:marBottom w:val="0"/>
          <w:divBdr>
            <w:top w:val="none" w:sz="0" w:space="0" w:color="auto"/>
            <w:left w:val="none" w:sz="0" w:space="0" w:color="auto"/>
            <w:bottom w:val="none" w:sz="0" w:space="0" w:color="auto"/>
            <w:right w:val="none" w:sz="0" w:space="0" w:color="auto"/>
          </w:divBdr>
          <w:divsChild>
            <w:div w:id="323122281">
              <w:marLeft w:val="0"/>
              <w:marRight w:val="0"/>
              <w:marTop w:val="0"/>
              <w:marBottom w:val="0"/>
              <w:divBdr>
                <w:top w:val="none" w:sz="0" w:space="0" w:color="auto"/>
                <w:left w:val="none" w:sz="0" w:space="0" w:color="auto"/>
                <w:bottom w:val="none" w:sz="0" w:space="0" w:color="auto"/>
                <w:right w:val="none" w:sz="0" w:space="0" w:color="auto"/>
              </w:divBdr>
              <w:divsChild>
                <w:div w:id="1761684443">
                  <w:marLeft w:val="0"/>
                  <w:marRight w:val="0"/>
                  <w:marTop w:val="0"/>
                  <w:marBottom w:val="0"/>
                  <w:divBdr>
                    <w:top w:val="none" w:sz="0" w:space="0" w:color="auto"/>
                    <w:left w:val="none" w:sz="0" w:space="0" w:color="auto"/>
                    <w:bottom w:val="none" w:sz="0" w:space="0" w:color="auto"/>
                    <w:right w:val="none" w:sz="0" w:space="0" w:color="auto"/>
                  </w:divBdr>
                  <w:divsChild>
                    <w:div w:id="423574204">
                      <w:marLeft w:val="0"/>
                      <w:marRight w:val="0"/>
                      <w:marTop w:val="0"/>
                      <w:marBottom w:val="0"/>
                      <w:divBdr>
                        <w:top w:val="none" w:sz="0" w:space="0" w:color="auto"/>
                        <w:left w:val="none" w:sz="0" w:space="0" w:color="auto"/>
                        <w:bottom w:val="none" w:sz="0" w:space="0" w:color="auto"/>
                        <w:right w:val="none" w:sz="0" w:space="0" w:color="auto"/>
                      </w:divBdr>
                      <w:divsChild>
                        <w:div w:id="682241618">
                          <w:marLeft w:val="0"/>
                          <w:marRight w:val="0"/>
                          <w:marTop w:val="0"/>
                          <w:marBottom w:val="0"/>
                          <w:divBdr>
                            <w:top w:val="none" w:sz="0" w:space="0" w:color="auto"/>
                            <w:left w:val="none" w:sz="0" w:space="0" w:color="auto"/>
                            <w:bottom w:val="none" w:sz="0" w:space="0" w:color="auto"/>
                            <w:right w:val="none" w:sz="0" w:space="0" w:color="auto"/>
                          </w:divBdr>
                          <w:divsChild>
                            <w:div w:id="19415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22674175">
      <w:bodyDiv w:val="1"/>
      <w:marLeft w:val="0"/>
      <w:marRight w:val="0"/>
      <w:marTop w:val="0"/>
      <w:marBottom w:val="0"/>
      <w:divBdr>
        <w:top w:val="none" w:sz="0" w:space="0" w:color="auto"/>
        <w:left w:val="none" w:sz="0" w:space="0" w:color="auto"/>
        <w:bottom w:val="none" w:sz="0" w:space="0" w:color="auto"/>
        <w:right w:val="none" w:sz="0" w:space="0" w:color="auto"/>
      </w:divBdr>
      <w:divsChild>
        <w:div w:id="1914120029">
          <w:marLeft w:val="0"/>
          <w:marRight w:val="0"/>
          <w:marTop w:val="0"/>
          <w:marBottom w:val="0"/>
          <w:divBdr>
            <w:top w:val="none" w:sz="0" w:space="0" w:color="auto"/>
            <w:left w:val="none" w:sz="0" w:space="0" w:color="auto"/>
            <w:bottom w:val="none" w:sz="0" w:space="0" w:color="auto"/>
            <w:right w:val="none" w:sz="0" w:space="0" w:color="auto"/>
          </w:divBdr>
          <w:divsChild>
            <w:div w:id="586771717">
              <w:marLeft w:val="0"/>
              <w:marRight w:val="0"/>
              <w:marTop w:val="0"/>
              <w:marBottom w:val="0"/>
              <w:divBdr>
                <w:top w:val="none" w:sz="0" w:space="0" w:color="auto"/>
                <w:left w:val="none" w:sz="0" w:space="0" w:color="auto"/>
                <w:bottom w:val="none" w:sz="0" w:space="0" w:color="auto"/>
                <w:right w:val="none" w:sz="0" w:space="0" w:color="auto"/>
              </w:divBdr>
              <w:divsChild>
                <w:div w:id="2065984223">
                  <w:marLeft w:val="0"/>
                  <w:marRight w:val="0"/>
                  <w:marTop w:val="0"/>
                  <w:marBottom w:val="0"/>
                  <w:divBdr>
                    <w:top w:val="none" w:sz="0" w:space="0" w:color="auto"/>
                    <w:left w:val="none" w:sz="0" w:space="0" w:color="auto"/>
                    <w:bottom w:val="none" w:sz="0" w:space="0" w:color="auto"/>
                    <w:right w:val="none" w:sz="0" w:space="0" w:color="auto"/>
                  </w:divBdr>
                  <w:divsChild>
                    <w:div w:id="572812479">
                      <w:marLeft w:val="0"/>
                      <w:marRight w:val="0"/>
                      <w:marTop w:val="0"/>
                      <w:marBottom w:val="0"/>
                      <w:divBdr>
                        <w:top w:val="none" w:sz="0" w:space="0" w:color="auto"/>
                        <w:left w:val="none" w:sz="0" w:space="0" w:color="auto"/>
                        <w:bottom w:val="none" w:sz="0" w:space="0" w:color="auto"/>
                        <w:right w:val="none" w:sz="0" w:space="0" w:color="auto"/>
                      </w:divBdr>
                      <w:divsChild>
                        <w:div w:id="1616986157">
                          <w:marLeft w:val="0"/>
                          <w:marRight w:val="0"/>
                          <w:marTop w:val="0"/>
                          <w:marBottom w:val="0"/>
                          <w:divBdr>
                            <w:top w:val="none" w:sz="0" w:space="0" w:color="auto"/>
                            <w:left w:val="none" w:sz="0" w:space="0" w:color="auto"/>
                            <w:bottom w:val="none" w:sz="0" w:space="0" w:color="auto"/>
                            <w:right w:val="none" w:sz="0" w:space="0" w:color="auto"/>
                          </w:divBdr>
                          <w:divsChild>
                            <w:div w:id="17834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419365">
      <w:bodyDiv w:val="1"/>
      <w:marLeft w:val="0"/>
      <w:marRight w:val="0"/>
      <w:marTop w:val="0"/>
      <w:marBottom w:val="0"/>
      <w:divBdr>
        <w:top w:val="none" w:sz="0" w:space="0" w:color="auto"/>
        <w:left w:val="none" w:sz="0" w:space="0" w:color="auto"/>
        <w:bottom w:val="none" w:sz="0" w:space="0" w:color="auto"/>
        <w:right w:val="none" w:sz="0" w:space="0" w:color="auto"/>
      </w:divBdr>
      <w:divsChild>
        <w:div w:id="1503231149">
          <w:marLeft w:val="0"/>
          <w:marRight w:val="0"/>
          <w:marTop w:val="100"/>
          <w:marBottom w:val="100"/>
          <w:divBdr>
            <w:top w:val="none" w:sz="0" w:space="0" w:color="auto"/>
            <w:left w:val="none" w:sz="0" w:space="0" w:color="auto"/>
            <w:bottom w:val="none" w:sz="0" w:space="0" w:color="auto"/>
            <w:right w:val="none" w:sz="0" w:space="0" w:color="auto"/>
          </w:divBdr>
          <w:divsChild>
            <w:div w:id="393699470">
              <w:marLeft w:val="0"/>
              <w:marRight w:val="0"/>
              <w:marTop w:val="0"/>
              <w:marBottom w:val="0"/>
              <w:divBdr>
                <w:top w:val="single" w:sz="6" w:space="4" w:color="DCDCDC"/>
                <w:left w:val="single" w:sz="6" w:space="4" w:color="DCDCDC"/>
                <w:bottom w:val="single" w:sz="6" w:space="0" w:color="DCDCDC"/>
                <w:right w:val="single" w:sz="6" w:space="4" w:color="DCDCDC"/>
              </w:divBdr>
              <w:divsChild>
                <w:div w:id="853304915">
                  <w:marLeft w:val="0"/>
                  <w:marRight w:val="0"/>
                  <w:marTop w:val="0"/>
                  <w:marBottom w:val="0"/>
                  <w:divBdr>
                    <w:top w:val="none" w:sz="0" w:space="0" w:color="auto"/>
                    <w:left w:val="none" w:sz="0" w:space="0" w:color="auto"/>
                    <w:bottom w:val="none" w:sz="0" w:space="0" w:color="auto"/>
                    <w:right w:val="none" w:sz="0" w:space="0" w:color="auto"/>
                  </w:divBdr>
                  <w:divsChild>
                    <w:div w:id="1824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750434">
      <w:bodyDiv w:val="1"/>
      <w:marLeft w:val="0"/>
      <w:marRight w:val="0"/>
      <w:marTop w:val="0"/>
      <w:marBottom w:val="0"/>
      <w:divBdr>
        <w:top w:val="none" w:sz="0" w:space="0" w:color="auto"/>
        <w:left w:val="none" w:sz="0" w:space="0" w:color="auto"/>
        <w:bottom w:val="none" w:sz="0" w:space="0" w:color="auto"/>
        <w:right w:val="none" w:sz="0" w:space="0" w:color="auto"/>
      </w:divBdr>
      <w:divsChild>
        <w:div w:id="520777064">
          <w:marLeft w:val="0"/>
          <w:marRight w:val="0"/>
          <w:marTop w:val="100"/>
          <w:marBottom w:val="100"/>
          <w:divBdr>
            <w:top w:val="none" w:sz="0" w:space="0" w:color="auto"/>
            <w:left w:val="none" w:sz="0" w:space="0" w:color="auto"/>
            <w:bottom w:val="none" w:sz="0" w:space="0" w:color="auto"/>
            <w:right w:val="none" w:sz="0" w:space="0" w:color="auto"/>
          </w:divBdr>
          <w:divsChild>
            <w:div w:id="123356996">
              <w:marLeft w:val="0"/>
              <w:marRight w:val="0"/>
              <w:marTop w:val="0"/>
              <w:marBottom w:val="0"/>
              <w:divBdr>
                <w:top w:val="single" w:sz="4" w:space="3" w:color="DCDCDC"/>
                <w:left w:val="single" w:sz="4" w:space="3" w:color="DCDCDC"/>
                <w:bottom w:val="single" w:sz="4" w:space="0" w:color="DCDCDC"/>
                <w:right w:val="single" w:sz="4" w:space="3" w:color="DCDCDC"/>
              </w:divBdr>
              <w:divsChild>
                <w:div w:id="389772136">
                  <w:marLeft w:val="0"/>
                  <w:marRight w:val="0"/>
                  <w:marTop w:val="0"/>
                  <w:marBottom w:val="0"/>
                  <w:divBdr>
                    <w:top w:val="none" w:sz="0" w:space="0" w:color="auto"/>
                    <w:left w:val="none" w:sz="0" w:space="0" w:color="auto"/>
                    <w:bottom w:val="none" w:sz="0" w:space="0" w:color="auto"/>
                    <w:right w:val="none" w:sz="0" w:space="0" w:color="auto"/>
                  </w:divBdr>
                  <w:divsChild>
                    <w:div w:id="115961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1592">
      <w:bodyDiv w:val="1"/>
      <w:marLeft w:val="0"/>
      <w:marRight w:val="0"/>
      <w:marTop w:val="0"/>
      <w:marBottom w:val="0"/>
      <w:divBdr>
        <w:top w:val="none" w:sz="0" w:space="0" w:color="auto"/>
        <w:left w:val="none" w:sz="0" w:space="0" w:color="auto"/>
        <w:bottom w:val="none" w:sz="0" w:space="0" w:color="auto"/>
        <w:right w:val="none" w:sz="0" w:space="0" w:color="auto"/>
      </w:divBdr>
      <w:divsChild>
        <w:div w:id="1299872482">
          <w:marLeft w:val="0"/>
          <w:marRight w:val="0"/>
          <w:marTop w:val="0"/>
          <w:marBottom w:val="0"/>
          <w:divBdr>
            <w:top w:val="none" w:sz="0" w:space="0" w:color="auto"/>
            <w:left w:val="none" w:sz="0" w:space="0" w:color="auto"/>
            <w:bottom w:val="none" w:sz="0" w:space="0" w:color="auto"/>
            <w:right w:val="none" w:sz="0" w:space="0" w:color="auto"/>
          </w:divBdr>
          <w:divsChild>
            <w:div w:id="2033458583">
              <w:marLeft w:val="0"/>
              <w:marRight w:val="0"/>
              <w:marTop w:val="0"/>
              <w:marBottom w:val="0"/>
              <w:divBdr>
                <w:top w:val="none" w:sz="0" w:space="0" w:color="auto"/>
                <w:left w:val="none" w:sz="0" w:space="0" w:color="auto"/>
                <w:bottom w:val="none" w:sz="0" w:space="0" w:color="auto"/>
                <w:right w:val="none" w:sz="0" w:space="0" w:color="auto"/>
              </w:divBdr>
              <w:divsChild>
                <w:div w:id="1157114212">
                  <w:marLeft w:val="0"/>
                  <w:marRight w:val="0"/>
                  <w:marTop w:val="0"/>
                  <w:marBottom w:val="0"/>
                  <w:divBdr>
                    <w:top w:val="none" w:sz="0" w:space="0" w:color="auto"/>
                    <w:left w:val="none" w:sz="0" w:space="0" w:color="auto"/>
                    <w:bottom w:val="none" w:sz="0" w:space="0" w:color="auto"/>
                    <w:right w:val="none" w:sz="0" w:space="0" w:color="auto"/>
                  </w:divBdr>
                  <w:divsChild>
                    <w:div w:id="789126628">
                      <w:marLeft w:val="0"/>
                      <w:marRight w:val="0"/>
                      <w:marTop w:val="0"/>
                      <w:marBottom w:val="0"/>
                      <w:divBdr>
                        <w:top w:val="none" w:sz="0" w:space="0" w:color="auto"/>
                        <w:left w:val="none" w:sz="0" w:space="0" w:color="auto"/>
                        <w:bottom w:val="none" w:sz="0" w:space="0" w:color="auto"/>
                        <w:right w:val="none" w:sz="0" w:space="0" w:color="auto"/>
                      </w:divBdr>
                      <w:divsChild>
                        <w:div w:id="1349022883">
                          <w:marLeft w:val="0"/>
                          <w:marRight w:val="0"/>
                          <w:marTop w:val="0"/>
                          <w:marBottom w:val="0"/>
                          <w:divBdr>
                            <w:top w:val="none" w:sz="0" w:space="0" w:color="auto"/>
                            <w:left w:val="none" w:sz="0" w:space="0" w:color="auto"/>
                            <w:bottom w:val="none" w:sz="0" w:space="0" w:color="auto"/>
                            <w:right w:val="none" w:sz="0" w:space="0" w:color="auto"/>
                          </w:divBdr>
                          <w:divsChild>
                            <w:div w:id="110391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594029">
      <w:bodyDiv w:val="1"/>
      <w:marLeft w:val="0"/>
      <w:marRight w:val="0"/>
      <w:marTop w:val="0"/>
      <w:marBottom w:val="0"/>
      <w:divBdr>
        <w:top w:val="none" w:sz="0" w:space="0" w:color="auto"/>
        <w:left w:val="none" w:sz="0" w:space="0" w:color="auto"/>
        <w:bottom w:val="none" w:sz="0" w:space="0" w:color="auto"/>
        <w:right w:val="none" w:sz="0" w:space="0" w:color="auto"/>
      </w:divBdr>
      <w:divsChild>
        <w:div w:id="1699157567">
          <w:marLeft w:val="0"/>
          <w:marRight w:val="0"/>
          <w:marTop w:val="0"/>
          <w:marBottom w:val="0"/>
          <w:divBdr>
            <w:top w:val="none" w:sz="0" w:space="0" w:color="auto"/>
            <w:left w:val="none" w:sz="0" w:space="0" w:color="auto"/>
            <w:bottom w:val="none" w:sz="0" w:space="0" w:color="auto"/>
            <w:right w:val="none" w:sz="0" w:space="0" w:color="auto"/>
          </w:divBdr>
          <w:divsChild>
            <w:div w:id="185600360">
              <w:marLeft w:val="0"/>
              <w:marRight w:val="0"/>
              <w:marTop w:val="0"/>
              <w:marBottom w:val="0"/>
              <w:divBdr>
                <w:top w:val="none" w:sz="0" w:space="0" w:color="auto"/>
                <w:left w:val="none" w:sz="0" w:space="0" w:color="auto"/>
                <w:bottom w:val="none" w:sz="0" w:space="0" w:color="auto"/>
                <w:right w:val="none" w:sz="0" w:space="0" w:color="auto"/>
              </w:divBdr>
              <w:divsChild>
                <w:div w:id="1290552155">
                  <w:marLeft w:val="0"/>
                  <w:marRight w:val="0"/>
                  <w:marTop w:val="0"/>
                  <w:marBottom w:val="0"/>
                  <w:divBdr>
                    <w:top w:val="none" w:sz="0" w:space="0" w:color="auto"/>
                    <w:left w:val="none" w:sz="0" w:space="0" w:color="auto"/>
                    <w:bottom w:val="none" w:sz="0" w:space="0" w:color="auto"/>
                    <w:right w:val="none" w:sz="0" w:space="0" w:color="auto"/>
                  </w:divBdr>
                  <w:divsChild>
                    <w:div w:id="150829036">
                      <w:marLeft w:val="0"/>
                      <w:marRight w:val="0"/>
                      <w:marTop w:val="0"/>
                      <w:marBottom w:val="0"/>
                      <w:divBdr>
                        <w:top w:val="none" w:sz="0" w:space="0" w:color="auto"/>
                        <w:left w:val="none" w:sz="0" w:space="0" w:color="auto"/>
                        <w:bottom w:val="none" w:sz="0" w:space="0" w:color="auto"/>
                        <w:right w:val="none" w:sz="0" w:space="0" w:color="auto"/>
                      </w:divBdr>
                      <w:divsChild>
                        <w:div w:id="831602416">
                          <w:marLeft w:val="0"/>
                          <w:marRight w:val="0"/>
                          <w:marTop w:val="0"/>
                          <w:marBottom w:val="0"/>
                          <w:divBdr>
                            <w:top w:val="none" w:sz="0" w:space="0" w:color="auto"/>
                            <w:left w:val="none" w:sz="0" w:space="0" w:color="auto"/>
                            <w:bottom w:val="none" w:sz="0" w:space="0" w:color="auto"/>
                            <w:right w:val="none" w:sz="0" w:space="0" w:color="auto"/>
                          </w:divBdr>
                          <w:divsChild>
                            <w:div w:id="7262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E5057-FFB1-42FD-901C-FBED3112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61243AB-1BFF-46B6-BE82-9CCA3EDBE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3746</Words>
  <Characters>21354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1</cp:revision>
  <cp:lastPrinted>2013-05-06T10:04:00Z</cp:lastPrinted>
  <dcterms:created xsi:type="dcterms:W3CDTF">2013-05-30T07:51:00Z</dcterms:created>
  <dcterms:modified xsi:type="dcterms:W3CDTF">2013-05-30T07:51:00Z</dcterms:modified>
  <cp:category>ECHR Template</cp:category>
</cp:coreProperties>
</file>